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https://www.autoritedelaconcurrence.fr/fr/decision-de-controle-des-concentrations/relative-au-rapprochement-des-groupes-malakoff-mederic-et</w:t>
      </w:r>
    </w:p>
    <w:p>
      <w:r>
        <w:t>Pages translated : 2</w:t>
      </w:r>
    </w:p>
    <w:p/>
    <w:p>
      <w:r>
        <w:rPr>
          <w:b/>
        </w:rPr>
        <w:t>[Pages 1–2]</w:t>
      </w:r>
    </w:p>
    <w:p>
      <w:r>
        <w:t xml:space="preserve">FRENCH REPUBLIC  </w:t>
        <w:br/>
        <w:t xml:space="preserve">Decision No. 18-DCC-118 of July 18, 2018  </w:t>
        <w:br/>
        <w:t xml:space="preserve">regarding the merger of the Malakoff Médéric and Humanis groups  </w:t>
        <w:br/>
        <w:t>The Competition Authority,</w:t>
      </w:r>
    </w:p>
    <w:p>
      <w:r>
        <w:t>Having regard to the complete notification file submitted to the mergers department on June 26, 2018, concerning the merger of the Malakoff Médéric and Humanis groups, formalized by a letter of intent dated June 13, 2018;</w:t>
      </w:r>
    </w:p>
    <w:p>
      <w:r>
        <w:t>Having regard to Book IV of the Commercial Code relating to the freedom of prices and competition, and in particular its Articles L. 430-1 to L. 430-7;</w:t>
      </w:r>
    </w:p>
    <w:p>
      <w:r>
        <w:t>Adopts the following decision:</w:t>
      </w:r>
    </w:p>
    <w:p>
      <w:r>
        <w:t>1. The notified operation consists of a de facto merger between SGAM Malakoff Médéric and SGAPS Humanis Développement Solidaire. It constitutes a concentration within the meaning of Article L. 430-1 of the Commercial Code. Considering the turnover of the parties, the notification thresholds of Article 1 paragraph 2 of Regulation (EC) 139/2004 are exceeded, but since each of the concerned companies generates more than two-thirds of its turnover within the Union in France,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r>
    </w:p>
    <w:p>
      <w:r>
        <w:t>2. The markets concerned by the operation are those of insurance products, employee savings, asset management, and the markets concerned under the health and social action of mutuals, which are consistently defined by the decision-making practice of the Competition Authority.</w:t>
      </w:r>
    </w:p>
    <w:p>
      <w:r>
        <w:t>3. Regardless of the segmentations retained, the estimated market shares of the parties are below 25%.</w:t>
      </w:r>
    </w:p>
    <w:p>
      <w: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18-113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