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https://www.autoritedelaconcurrence.fr/fr/decision-de-controle-des-concentrations/relative-au-rapprochement-du-groupe-aprionis-et-du-groupe</w:t>
      </w:r>
    </w:p>
    <w:p>
      <w:r>
        <w:t>Pages translated : 8</w:t>
      </w:r>
    </w:p>
    <w:p/>
    <w:p>
      <w:r>
        <w:rPr>
          <w:b/>
        </w:rPr>
        <w:t>[Pages 1–3]</w:t>
      </w:r>
    </w:p>
    <w:p>
      <w:r>
        <w:t xml:space="preserve">FRENCH REPUBLIC  </w:t>
        <w:br/>
        <w:t xml:space="preserve">Decision No. 11-DCC-11 of January 27, 2011  </w:t>
        <w:br/>
        <w:t xml:space="preserve">regarding the merger of the Aprionis Group and  </w:t>
        <w:br/>
        <w:t xml:space="preserve">the Vauban Humanis Group  </w:t>
        <w:br/>
        <w:t xml:space="preserve">The Competition Authority,  </w:t>
        <w:br/>
        <w:t xml:space="preserve">Having regard to the notification file sent to the merger service on November 5, 2010, and declared complete on January 6, 2011, regarding the merger of the Aprionis group and the Vauban Humanis group within the Humanis group, formalized by the draft statutes of the top-level association of the Humanis group;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1. The Aprionis group is a joint social protection group resulting from the merger of the Apri and Ionis groups in January 2009. The group has a top-level association that brings together two complementary pension institutions (Abelio (Arrco) and Altea (Agirc)), five "professional" and "interprofessional" provident institutions (Apri prévoyance and Ionis prévoyance (in the process of merging), Carcel Prévoyance, Cria Prévoyance, Ipsec), a joint provident group (GPP IPSEC-APRI), four mutual insurance companies (Coesia Santé, Smapri (in the process of merging), Radiance Sud, Radiance Nord - Pas-de-Calais), and a union of mutuals (Radiance groupe Apri). The group also includes nine subsidiaries that have developed commercial activities (financial management, life insurance, insurance self-brokerage, international personal insurance, services for third-party insurers, etc.) and manages special pension schemes on behalf of the Caisse des dépôts et Consignations. The Aprionis group has pooled its human and material resources around five economic interest groups (GIE). It operates in all areas of complementary social protection: complementary retirement, personal insurance (health, death, disability, incapacity, savings, dependency, etc.), employee savings, financial management, third-party management, and social action.</w:t>
      </w:r>
    </w:p>
    <w:p>
      <w:r>
        <w:t xml:space="preserve">2. The Vauban Humanis group is a joint social protection group composed of six joint or mutual institutions: two complementary pension institutions (Irneo (Arrco) and CGRCR (Agirc)), an "interprofessional" provident institution (Vauban Humanis Prévoyance), two mutual insurance companies (Mutuelle Groupe Smiso Mutuelle des Cadres, Mutuelle Familiale Vauban Humanis), and a union of mutuals (Servalys), organized around a top-level association and an economic interest group (GIE). The group also engages in insurance self-brokerage through its subsidiary Vauban Humanis Conseils. The Vauban Humanis group offers companies, individuals, and self-employed workers comprehensive solutions for retirement, provident insurance, health mutual insurance, savings, and social action.  </w:t>
        <w:br/>
        <w:t xml:space="preserve">II. The operation  </w:t>
        <w:br/>
        <w:t xml:space="preserve">3. The Apri, Ionis, and Vauban Humanis groups signed a letter of intent on January 30, 2008, setting the objective of creating a single group called "Groupe Humanis" in 2011. They then concluded a protocol agreement on July 8, 2008, to define the method chosen for this merger and the strategic ambition of the future group. A steering committee, called the "AIVH Committee," composed of the offices of the two top-level associations, was tasked with preparing the establishment of the future group and identifying possible collaborations and synergies. This committee met 21 times between January 30, 2008, and May 2010 to gain a better mutual understanding of the two groups, to confront their strategic visions on each of their businesses, to compare their organizations and principles of operation, and to propose a merger scenario. The committee also initiated political and operational cooperations between the two groups in 2009. The work of this committee ultimately concluded in May 2010 and was validated by the boards of the top-level associations of the two groups.  </w:t>
        <w:br/>
        <w:t xml:space="preserve">4. The Humanis group will be created by the deliberation of its constitutive general assembly on January 27, 2011, and will be endowed with a top-level association whose board of directors will be responsible for defining the political and strategic orientations of the group. Following the creation of the top-level association, the Humanis group will organize a pooling of its operational resources around four economic interest groups ("GIE"): the GIE Transverse Functions, which will group the support functions, the GIE Retirement, which will group all resources dedicated to AGIRC and ARRCO complementary retirement activities, the GIE Personal Insurance, which will group resources dedicated to the activities of the provident institutions, mutuals, and insurance company of the group, and the GIE Common Resources, which will aim to carry out certain collective purchases of the group, mainly in the area of facilities and equipment for management sites, with a view to financial optimization. Some resources will remain owned by the entities to which they are dedicated either for regulatory reasons or for reasons related to the organization of certain partnerships. Finally, the merger of the "interprofessional" provident institutions and the complementary pension institutions of the two groups is also envisaged respectively in 2012 and 2013.  </w:t>
        <w:br/>
        <w:t xml:space="preserve">5. Following the notified operation, the insurance activities of the two groups will be combined. A combination agreement will be established before the end of 2011 based on the model  </w:t>
        <w:br/>
        <w:t xml:space="preserve">imperative communicated by the Prudential Supervisory Authority. Nevertheless, the member entities of each of the groups will retain their legal personality within the Humanis Group.  </w:t>
        <w:br/>
        <w:t xml:space="preserve">6. The creation of the Humanis group thus resembles the creation of a common economic unit, within the meaning of paragraph 23 of the guidelines of the Competition Authority relating to merger control, which specify that "de facto mergers are subject to merger control just like de jure mergers, as soon as they lead to the combination of activities of previously independent companies within a single economic entity. The existence of a single and sustainable economic management is a necessary condition to determine if such a concentration exists. To determine this, the Authority takes into account all legal and factual circumstances allowing the qualification of the operation."  </w:t>
        <w:br/>
        <w:t xml:space="preserve">7. In light of these elements, and in accordance with previous decision-making practice, it is appropriate to consider the merger of the Aprionis and Vauban Humanis groups through the creation of the Humanis Group as a de facto merger. Consequently, the present operation constitutes a concentration within the meaning of Article L. 430-1 of the Commercial Code.  </w:t>
        <w:br/>
        <w:t xml:space="preserve">8. The companies concerned achieved a consolidated worldwide turnover excluding taxes of more than 150 million euros in 2009 (Aprionis group: 1.149 billion euros; Vauban Humanis group: 462.9 million euros). Each of these companies achieved, in France, a turnover exceeding 50 million euros (Aprionis group: 1.148 billion euros; Vauban Humanis group: 462.9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III. Delimitation of the relevant markets  </w:t>
        <w:br/>
        <w:t xml:space="preserve">9. The parties to the operation are simultaneously active in the insurance and reinsurance sector as well as in other markets such as asset management and employee savings.  </w:t>
        <w:br/>
        <w:t xml:space="preserve">10. The parties are also active in the sector of mandatory complementary retirement for employees as managers of a pay-as-you-go scheme and in the sector of social action. Regarding the activity of mandatory complementary retirement for employees, each of the two groups has an Arrco institution (Abelio for the Aprionis group and Irneo for the Vauban Humanis group) and an Agirc institution (Altea for the Aprionis group and CGRCR for the Vauban Humanis group). Regarding social action, the vast majority  </w:t>
        <w:br/>
        <w:t xml:space="preserve">1 See notably Letter No. 09-DCC-15 of June 30, 2009, to the council of the AG2R Prévoyance and Isica Prévoyance institutions (AG2R group) and the Prémalliance Prévoyance provident institution (Prémalliance group).  </w:t>
        <w:br/>
        <w:t>2 The Arrco (Association of complementary retirement schemes) and the Agirc (General Association of retirement institutions for executives) are two mandatory complementary retirement schemes based on pay-as-you-go established respectively by the national interprofessional agreement of December 8, 1961, and the national collective agreement of 1947. Article L. 921-4 of the Social Security Code specifies that "the complementary retirement schemes for employees (...) are implemented by complementary retirement institutions and federations grouping these institutions," which have a monopoly position in the field of pay-as-you-go complementary retirement. The complementary retirement institutions, members of the Agirc and Arrco, therefore manage the scheme to which they belong, in relation to the member companies and participants. To carry out this management under the conditions defined by the federations, under their control, and with the allocations made available to them, the Agirc and Arrco institutions currently operate within the framework of social protection groups; which may include provident institutions, mutuals, and insurance companies.</w:t>
      </w:r>
    </w:p>
    <w:p>
      <w:r>
        <w:rPr>
          <w:b/>
        </w:rPr>
        <w:t>[Pages 4–6]</w:t>
      </w:r>
    </w:p>
    <w:p>
      <w:r>
        <w:t>social actions of the two groups are carried out within the complementary retirement institutions and incidentally within the provident institutions and mutual groups. This activity, whether it involves social actions undertaken on the parties' own initiative or social actions conducted within the framework of management on behalf of the State or local authorities, is carried out on an incidental and gratuitous basis. In any case, the amounts allocated for social action represent less than 1% of the turnover of each of the Aprionis and Vauban Humanis groups. Considering these elements and in accordance with previous decision-making practice, these two activities do not constitute economic activities and therefore do not constitute "markets" within the meaning of competition law. 11. Finally, the Aprionis Group offers training and management services on behalf of third parties, services that are not offered by the Vauban Humanis group. A. DELIMITATION OF PRODUCT OR SERVICE MARKETS 12. National and community competition authorities consistently distinguish between reinsurance activities and insurance activities. 1. REINSURANCE MARKETS 13. Reinsurance is a particular form of insurance whereby the reinsurer assumes all or part of the risks insured by the primary insurer. This mechanism allows primary insurers to increase the number of insured parties and to spread risks over time and across a broader geographical area. 14. National and community competition authorities consider that reinsurance constitutes a distinct market due to the specificity of its object (the distribution of risks among insurers) and the less stringent regulatory constraints on this activity. Finally, property reinsurance has been distinguished from life reinsurance, and for each, potential further segmentation may be considered based on the different categories of risks covered. 15. Nevertheless, for the analysis of the effects of the present operation, it is not necessary to precisely define the reinsurance markets because, regardless of the definition adopted, the conclusions of the competitive analysis will not be affected. 2. INSURANCE MARKETS 16. Within the insurance sector, national and community competition authorities consistently distinguish between life insurance and property insurance (goods and liabilities), each of which can in turn be segmented into as many markets as there are insurances covering different types of risks, insofar as, from the demand perspective, insurances covering these different risks are not substitutable. Regarding the life insurance market, an additional segmentation can be made between group insurance contracts, concluded between an insurer and a policyholder distinct from the beneficiary, and individual insurance contracts where the policyholder is also the beneficiary. Similarly, regarding the property insurance market, an additional segmentation can be made between insurances aimed at individuals and insurances aimed at professionals. 17. In this case, the parties to the operation are simultaneously active in the life insurance sector. The parties have identified the following segments where their activities overlap: - markets for collective and individual provident insurance that group together insurance products intended to cover beneficiaries against an unpredictable loss of income (in the event of death, disability, or incapacity) through a payment in the form of a capital sum or an annuity; - markets for collective and individual complementary health insurance that aim to supplement the benefits offered by mandatory health insurance schemes. The risk covered corresponds to the costs not covered by social security incurred for medical treatment. Complementary reimbursements depend on the benefits of the legal social security scheme; - market for supplementary retirement and retirement savings which are forms of insurance in the event of life. After a certain number of years of contributions, the beneficiary (or their heirs in the event of death) receives a capital sum or an additional annuity to that which is paid under their mandatory retirement. The risk covered is the loss of income related to the transition from active life to retirement. 18. The Aprionis group also offers international health insurance and life insurance products. The Vauban Humanis group is not present in these market segments. 3. INSURANCE DISTRIBUTION MARKETS 19. According to decision-making practice, it is possible to consider a broad market for the distribution of insurance products by independent intermediaries, including all distribution channels: agents, brokers, and other intermediaries (including banks), except for direct distribution by insurance companies, or a narrower market for insurance brokerage, including only this distribution channel. Furthermore, segmentations based on clientele (businesses or individuals) and major categories of insured risks have also been considered, due to their low substitutability. 20. In this case, the parties are simultaneously active in the brokerage of insurance products. Moreover, their activities only overlap in the segment of insurance brokerage aimed at a business clientele. 21. Therefore, the effects of the present operation will be examined in the segment of insurance brokerage aimed at a business clientele. In any case, for the purposes of this operation, the question of the exact definition of the markets in insurance distribution can be left open insofar as, regardless of the delimitation adopted, the conclusions of the analysis will remain unchanged. 4. OTHER RELEVANT MARKETS 22. The Aprionis group and the Vauban Humanis group are simultaneously active in asset management and employee savings. 23. Previous decision-making practice has considered that each of these activities constitutes a distinct product market. 24. Regarding asset management, which consists of offering management of assets on behalf of third parties, previous decision-making practice has considered a sub-segmentation of this market based on clientele (businesses/institutional clients and individuals). It has also considered an additional segmentation between portfolio management, fund management, and private equity, while leaving the market delimitation open.</w:t>
      </w:r>
    </w:p>
    <w:p>
      <w:r>
        <w:rPr>
          <w:b/>
        </w:rPr>
        <w:t>[Pages 7–8]</w:t>
      </w:r>
    </w:p>
    <w:p>
      <w:r>
        <w:t xml:space="preserve">25. Regarding employee savings, which is a savings system combining a collective framework defined at the company level and an individual initiative from the employee, previous decision-making practice has considered that it does not fall within the domain of insurance.  </w:t>
        <w:br/>
        <w:t xml:space="preserve">26. It is not necessary, within the framework of the notified operation, to make a more precise delimitation of these markets, as regardless of the market delimitations retained, the conclusions of the analysis remain unchanged.  </w:t>
        <w:br/>
        <w:t xml:space="preserve">B. DELIMITATION OF GEOGRAPHICAL MARKETS  </w:t>
        <w:br/>
        <w:t xml:space="preserve">27. It follows from decision-making practice that the reinsurance market is of a global dimension, particularly given the need to balance risks at the international level.  </w:t>
        <w:br/>
        <w:t xml:space="preserve">28. Furthermore, with the exception of certain insurances covering large-scale risks, insurance markets have been considered to be of a national dimension due to consumer preferences, the existence of national legislation and tax constraints, the current structure of these markets, and regulatory systems. The same applies to the markets for asset management and employee savings.  </w:t>
        <w:br/>
        <w:t xml:space="preserve">29. Finally, the markets for the distribution of insurance products have been considered essentially to be of a national dimension.  </w:t>
        <w:br/>
        <w:t xml:space="preserve">IV. Competitive Analysis  </w:t>
        <w:br/>
        <w:t xml:space="preserve">30. Following the notified operation, the combined market share of the parties will be less than 5% in each of the markets where the activities of the parties overlap, namely in the reinsurance markets, personal insurance (collective provident insurance, individual provident insurance, collective complementary health insurance, individual complementary health insurance, supplementary retirement, and retirement savings), insurance brokerage, as well as in the employee savings and asset management markets.  </w:t>
        <w:br/>
        <w:t xml:space="preserve">31. Moreover, in each of these markets, the entity resulting from the notified operation will continue to face competition from numerous players whose market shares are larger than those of the new entity. Thus, the main competitors of the parties include, in the personal insurance markets: CNP, Crédit Agricole, Axa, Generali, BNP Paribas, Crédit Mutuel, Société Générale, Groupama, Allianz, AG2R-La Mondiale; in the brokerage market: Gras Savoye, MMC France, AON France, Verspieren, SIACI Saint Honoré; in the employee savings markets: Amundi, Natixis interepargne, BNP Paribas, AXA, CREDIT Mutuel-CIC, HSBC, Inter Expansion; and in the asset management markets: Amundi, Natixis Asset Management, Axa Investment Managers, BNP Paribas Asset Management, Société Générale Gestion-S2G, La Banque Postale Asset Management.  </w:t>
        <w:br/>
        <w:t xml:space="preserve">32. Given the above elements, the notified operation is not likely to harm competition.  </w:t>
        <w:br/>
        <w:t xml:space="preserve">DECIDES  </w:t>
        <w:br/>
        <w:t xml:space="preserve">Single Article: The operation notified under number 10-0095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