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https://www.autoritedelaconcurrence.fr/fr/decision-de-controle-des-concentrations/relative-au-rapprochement-du-groupe-humanis-et-du-groupe</w:t>
      </w:r>
    </w:p>
    <w:p>
      <w:r>
        <w:t>Pages translated : 7</w:t>
      </w:r>
    </w:p>
    <w:p/>
    <w:p>
      <w:r>
        <w:rPr>
          <w:b/>
        </w:rPr>
        <w:t>[Pages 1–3]</w:t>
      </w:r>
    </w:p>
    <w:p>
      <w:r>
        <w:t xml:space="preserve">FRENCH REPUBLIC  </w:t>
        <w:br/>
        <w:t xml:space="preserve">Decision No. 11-DCC-215 of December 29, 2011  </w:t>
        <w:br/>
        <w:t xml:space="preserve">regarding the merger of the Humanis group and  </w:t>
        <w:br/>
        <w:t>the Novalis Taitbout group</w:t>
      </w:r>
    </w:p>
    <w:p>
      <w:r>
        <w:t xml:space="preserve">The Competition Authority,  </w:t>
        <w:br/>
        <w:t xml:space="preserve">Having regard to the notification file submitted in full to the concentrations service on November 30, 2011, regarding the merger of the Humanis group and the Novalis Taitbout group within the Humanis group, formalized by a merger agreement dated May 4, 2011, approved by the boards of directors of the top-level associations of the Humanis and Novalis Taitbout groups on May 19, 2011, and a draft statute of the future top-level association;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w:t>
        <w:br/>
        <w:t xml:space="preserve">1. The Humanis group resulted from the merger of the Aprionis and Vauban Humanis groups that took place on January 27, 2011. The group is equipped with a top-level association that includes four complementary retirement institutions (Abelio and Irneo (ARRCO) and Altea and CGRCR (AGIRC)), five "professional" and "interprofessional" provident institutions (Carcel Prévoyance, Cria Prévoyance, Ipsec, Aprionis Prévoyance, Vauban Humanis Prévoyance), a joint provident group (GPP Ipsec-Apri), five mutuals (the Vauban Humanis Family Mutual, the SMISO Group Mutual, Smapri, Radiance Sud, Radiance Nord-Pas-de-Calais) and two mutual unions (Radiance Humanis Group and Servalys). The group also includes several subsidiaries, which are not members of the top-level association for legal and tax reasons, whose activities include in particular financial management, employee savings, life insurance, self-insurance brokerage, professional training, international personal insurance, services provided on behalf of third-party insurers, etc. Finally, the group manages special retirement schemes on behalf of the Caisse des dépôts et Consignations. The human and material resources of the group are consolidated within seven resource groups.  </w:t>
        <w:br/>
        <w:t>2. The Novalis Taitbout group resulted from the merger of the Novalis and Taibout groups that took place on January 1, 2009. The group is equipped with a top-level association that includes four complementary retirement institutions (Novalis Retraite ARRCO and Caisse de Retraite pour la France et l’Extérieur (ARRCO) and Novalis Retraite AGIRC and Institution de Retraite des Cadres et Assimilés de France et de l’Extérieur (AGIRC)), two "professional" and "interprofessional" provident institutions (Novalis Prévoyance and Institution de Prévoyance des Banques Populaires). The group also includes several subsidiaries whose activities include in particular life insurance, insurance brokerage, supplementary retirement, and employee savings. The human and material resources of the group are consolidated within a resource association.</w:t>
      </w:r>
    </w:p>
    <w:p>
      <w:r>
        <w:t xml:space="preserve">II. The operation  </w:t>
        <w:br/>
        <w:t xml:space="preserve">3. The Humanis and Novalis Taitbout groups signed a letter of intent on November 9, 2010, setting the objective of creating a single group in January 2012 that will retain the name "Humanis." A merger agreement, specifying the main organizational principles of the future group and its strategic orientations, was signed on May 4, 2011. The boards of directors of the top-level associations of the Humanis and Novalis Taitbout groups met on May 19, 2011, to validate the merger of the two groups. By letter dated November 24, 2011, the ARRCO and AGIRC bodies gave their approval for this merger, as did the board of directors of the technical center of provident institutions (CTIP). The Humanis group will be created by the deliberation of its constitutive general assembly on January 26, 2012, and will be equipped with a top-level association whose board of directors will be responsible for defining the political and strategic orientations of the group. Furthermore, the merger of the three interprofessional provident institutions of the two groups, Aprionis Prévoyance, Vauban-Humanis Prévoyance, and Novalis Prévoyance, within a new provident institution called "Humanis Prévoyance" will be validated by the general assemblies of the three provident institutions in June 2012 and will be completed at the end of 2012 after a decision by the Prudential Control Authority ("ACP"), which will have a retroactive effect from January 1, 2012. Humanis Prévoyance will become the combining entity of the future group. Finally, the merger of the complementary retirement institutions of the Humanis and Novalis-Taitbout groups is also planned for 2015.  </w:t>
        <w:br/>
        <w:t>4. The creation of the Humanis group resembles the establishment of a common economic unit, within the meaning of paragraph 23 of the guidelines of the Competition Authority relating to the control of concentrations, which specify that "de facto mergers are subject to concentration control just like legal mergers, as soon as they lead to the combination of activities of previously independent companies within a single economic entity. The existence of a unique and sustainable economic management is a necessary condition to determine whether such a concentration is present. To determine this, the Authority takes into account all legal and factual circumstances that allow the operation to be qualified."</w:t>
      </w:r>
    </w:p>
    <w:p>
      <w:r>
        <w:t xml:space="preserve">5. In view of these elements, and in accordance with previous decision-making practice2, the merger of the Humanis and Novalis Taitbout groups through the creation of the Humanis group should be regarded as a de facto merger. Consequently, the present operation constitutes a concentration within the meaning of Article L. 430-1 of the Commercial Code.  </w:t>
        <w:br/>
        <w:t>6. The companies concerned achieved a consolidated worldwide turnover, excluding taxes, of more than 150 million euros in 2010 (Humanis group3: 1.669 billion euros; Novalis Taitbout group: 955.5 million euros). Each of these companies achieved a turnover in France exceeding 50 million euros (Humanis group4: 1.667 billion euros; Novalis Taitbout group: 955.5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III. Delimitation of relevant markets  </w:t>
        <w:br/>
        <w:t xml:space="preserve">7. The parties to the operation are simultaneously active in the insurance and reinsurance sector as well as in other sectors such as asset management and employee savings.  </w:t>
        <w:br/>
        <w:t xml:space="preserve">8. The parties are also active in the sector of mandatory supplementary retirement for employees as managers of a distribution scheme and in the social action sector. Indeed, each of the two groups has several ARRCO5 and AGIRC6 institutions in the sector of mandatory supplementary retirement for employees, and social action is essentially carried out within the complementary retirement institutions. These activities, whether conducted on the initiative of the parties or within the framework of management on behalf of the State or local authorities, are carried out on an ancillary and free basis. In any case, the amounts allocated for social action represent less than 1% of the turnover of each of the Humanis and Novalis Taitbout groups. Given these elements and in accordance with previous decision-making practice  </w:t>
        <w:br/>
        <w:t xml:space="preserve">2 See in particular decisions No. 09-DCC-15 of June 30, 2009, and No. 11-DCC-11 of January 27, 2011.  </w:t>
        <w:br/>
        <w:t xml:space="preserve">3 The accounts of the Aprionis and Vauban Humanis groups were not combined in 2010, as the merger of the two groups took place in January 2011.  </w:t>
        <w:br/>
        <w:t xml:space="preserve">4 Id.  </w:t>
        <w:br/>
        <w:t xml:space="preserve">5 Abelio and Irneo for the Humanis group and Novalis Retraite ARRCO and Caisse de Retraite pour la France et l’Extérieur for the Novalis Taitbout group.  </w:t>
        <w:br/>
        <w:t xml:space="preserve">6 Altea and CGRCR for the Humanis group and Novalis Retraite AGIRC and Institution de Retraite des Cadres et Assimilés de France et de l’Extérieur for the Novalis Taitbout group.  </w:t>
        <w:br/>
        <w:t>The Arrco (Association of supplementary retirement schemes) and the Agirc (General Association of retirement institutions for executives) are two mandatory supplementary retirement schemes based on distribution. Article L. 921-4 of the Social Security Code specifies that "the supplementary retirement schemes for employees (...) are implemented by supplementary retirement institutions and Federations grouping these institutions," which have a monopoly situation in the field of supplementary retirement based on distribution. The supplementary retirement institutions, members of the Agirc and Arrco, therefore manage the scheme to which they belong, in relation to the member companies and participants. To carry out this management under the conditions defined by the Federations, under their control, and with the allocations made available to them, the Agirc and Arrco institutions currently operate within social protection groups. As soon as the group integrates legal entities other than parity-managed organizations, a complex legal group structure must be established. In this case, the groups equip themselves with management structures (association or GIE) integrating all members of the group to share human and IT resources, alongside the top-level body that defines the strategic orientations of the group, and within which only parity-managed members sit.</w:t>
      </w:r>
    </w:p>
    <w:p>
      <w:r>
        <w:rPr>
          <w:b/>
        </w:rPr>
        <w:t>[Pages 4–6]</w:t>
      </w:r>
    </w:p>
    <w:p>
      <w:r>
        <w:t>prior7, these two activities do not constitute economic activities and therefore do not constitute "markets" within the meaning of competition law.</w:t>
      </w:r>
    </w:p>
    <w:p>
      <w:r>
        <w:t>A. DELIMITATION OF PRODUCT OR SERVICE MARKETS</w:t>
      </w:r>
    </w:p>
    <w:p>
      <w:r>
        <w:t>1. INSURANCE AND REINSURANCE MARKETS</w:t>
      </w:r>
    </w:p>
    <w:p>
      <w:r>
        <w:t>9. National and Community decision-making practice consistently distinguishes reinsurance activities from insurance activities8.</w:t>
      </w:r>
    </w:p>
    <w:p>
      <w:r>
        <w:t>10. Regarding reinsurance, each of the two groups only conducts reinsurance operations marginally as a pure opportunity to consolidate their solvency margin or establish a partnership. Moreover, they do not conduct this activity through a structure specifically authorized to carry out reinsurance operations and are therefore minor players in this sector. This activity will therefore not be analyzed further.</w:t>
      </w:r>
    </w:p>
    <w:p>
      <w:r>
        <w:t>11. Regarding insurance activities, a distinction has been made between personal insurance and property and liability insurance, each of which can in turn be segmented into as many markets as there are insurances covering different types of risks9. Finally, additional segmentations have been considered within personal insurance between group insurance contracts and individual insurance contracts, and within property and liability insurance between insurance for individuals and insurance for professionals.</w:t>
      </w:r>
    </w:p>
    <w:p>
      <w:r>
        <w:t>12. In this case, the parties to the operation are simultaneously active in personal insurance, in the following segments:</w:t>
        <w:br/>
        <w:t>- markets for collective and individual provident insurance that include insurance products intended to cover beneficiaries against an unpredictable loss of income (in the event of death, disability, or incapacity) through a payment in the form of a capital sum or an annuity10;</w:t>
        <w:br/>
        <w:t>- markets for collective and individual complementary health insurance that aim to supplement the benefits offered by mandatory health insurance schemes. The risk covered corresponds to the costs not covered by social security that must be incurred for medical treatment. Complementary reimbursements depend on the benefits of the legal social security scheme11;</w:t>
      </w:r>
    </w:p>
    <w:p>
      <w:r>
        <w:t>7 See in particular, regarding the mandatory supplementary retirement for employees, the letters from the Minister of Economy dated August 21, 2007, to the boards of the AG2R Prévoyance Institute and La Mondiale, and December 27, 2007, to the board of Groupama SA and Réunica Prévoyance, and regarding social action, the letters from the Minister of Economy, dated October 28, 2008, to the boards of the Harmonie Mutualité Mutual and dated August 5, 2008, to the boards of the General Mutual of Prefectures and Territorial Administration.</w:t>
      </w:r>
    </w:p>
    <w:p>
      <w:r>
        <w:t>8 See for example the decisions of the European Commission COMP/M.3556 - Fortis / BCP of January 19, 2005, COMP/M.2676 - SAMPO / VARMA SAMPO / IF HOLDING / JV of December 18, 2001, IV/M.862 - AXA / UAP of December 20, 1996 as well as decisions No. 09-DCC-16 of June 22, 2009, regarding the merger between the Caisse d’Epargne and Banque Populaire groups and No. 10-DCC-52 of June 2, 2010, regarding the creation of a SGAM by MACIF, MAIF, and MATMUT.</w:t>
      </w:r>
    </w:p>
    <w:p>
      <w:r>
        <w:t>9 See for example the decisions of the European Commission COMP/M.5083 - GROUPAMA / OTP GARANCIA of April 15, 2008, COMP/M.3556 - FORTIS / BCP of January 19, 2005, IV/M.862 - AXA / UAP of December 20, the decision No. 09-DCC-16 of June 22, 2009, regarding the merger between the Caisse d’Epargne and Banque Populaire groups and the letters from the Minister of Economy dated October 1, 2007, to the board of the Swiss Insurance Holdings Company and September 10, 2008, to the board of the Esca company.</w:t>
      </w:r>
    </w:p>
    <w:p>
      <w:r>
        <w:t>10 Letter from the Minister of Economy dated October 28, 2008, to the boards of the Harmonie Mutualité Mutual.</w:t>
      </w:r>
    </w:p>
    <w:p>
      <w:r>
        <w:t>11 Letters from the Minister of Economy dated October 28, 2008, to the boards of the Harmonie Mutualité Mutual and August 21, 2007, to the boards of the AG2R Prévoyance Institute and La Mondiale.</w:t>
      </w:r>
    </w:p>
    <w:p>
      <w:r>
        <w:t>- market for savings and life insurance that includes all financial products offered under optional capital or annuity insurance and life insurance products12;</w:t>
        <w:br/>
        <w:t>- market for supplementary retirement and retirement savings which are forms of insurance in the event of life. After a certain number of years of contributions, the beneficiary (or their heirs in the event of death) receives a capital sum or an additional annuity to that which is paid under their mandatory retirement. The risk covered is the loss of income related to the transition from active life to retirement13;</w:t>
      </w:r>
    </w:p>
    <w:p>
      <w:r>
        <w:t>2. INSURANCE DISTRIBUTION MARKETS</w:t>
      </w:r>
    </w:p>
    <w:p>
      <w:r>
        <w:t>13. According to decision-making practice, it is possible to consider a broad market for the distribution of insurance products by independent intermediaries, including all distribution channels: agents, brokers, and other intermediaries (including banks), with the exception of direct distribution by insurance companies14, or a narrower market for insurance brokerage, including only this distribution channel15. Additionally, segmentations based on clientele (businesses or individuals) and major categories of insured risks have also been considered, due to their low substitutability.</w:t>
      </w:r>
    </w:p>
    <w:p>
      <w:r>
        <w:t>14. In this case, the question of the exact definition of markets in terms of insurance distribution can be left open insofar as, regardless of the delimitation retained, the conclusions of the analysis will remain unchanged.</w:t>
      </w:r>
    </w:p>
    <w:p>
      <w:r>
        <w:t>3. OTHER RELEVANT MARKETS</w:t>
      </w:r>
    </w:p>
    <w:p>
      <w:r>
        <w:t>15. The Humanis and Novalis Taitbout groups are also active in the fields of asset management and employee savings, which have been considered as distinct product markets by previous decision-making practice.</w:t>
      </w:r>
    </w:p>
    <w:p>
      <w:r>
        <w:t>16. Regarding asset management, which consists of offering management of assets on behalf of third parties, previous decision-making practice has considered a sub-segmentation based on clientele (businesses/institutional clients and individuals). It has also considered an additional segmentation between portfolio management, fund management, and private equity, while leaving the market delimitation open16.</w:t>
      </w:r>
    </w:p>
    <w:p>
      <w:r>
        <w:t>17. Regarding employee savings, which is a savings system combining a collective framework defined at the company level and an individual initiative from the employee, previous decision-making practice has considered that it does not fall within the domain of insurance17.</w:t>
      </w:r>
    </w:p>
    <w:p>
      <w:r>
        <w:t>12 Letter from the Minister of Economy, dated August 21, 2007, to the boards of the AG2R Prévoyance Institute and La Mondiale.</w:t>
      </w:r>
    </w:p>
    <w:p>
      <w:r>
        <w:t>13 Letter from the Minister of Economy dated August 21, 2007, to the boards of the AG2R Prévoyance Institute and La Mondiale.</w:t>
      </w:r>
    </w:p>
    <w:p>
      <w:r>
        <w:t>14 See the decision of the European Commission COMP/M.4284 - AXA/Winterthur of August 28, 2006.</w:t>
      </w:r>
    </w:p>
    <w:p>
      <w:r>
        <w:t>15 See the letters from the Minister of Economy dated October 28, 2008, to the boards of the Harmonie Mutualité Mutual, March 12, 2008, to the boards of KBC, April 3, 2007, to the boards of the SIACI group, January 22, 2007, to the board of the Financière de l’ILL company, as well as the decisions of the European Commission COMP/M. 1307 - Marsch &amp; McLennan/Sedgwick of October 23, 1998 and COMP/M.1280 - KKR/Willis Corroon of August 24, 1998.</w:t>
      </w:r>
    </w:p>
    <w:p>
      <w:r>
        <w:t>16 See in particular decision No. 09-DCC-84 of December 21, 2009, regarding the merger of the AG2R and Prémalliance groups, the letters from the Minister of Economy dated March 12, 2008, to the boards of KBC, August 10, 2006, to the boards of the Caisse Nationale des Caisses d’Epargne and the Banque Fédérale des Banques Populaires, and the decisions of the European Commission M.1043 - BAT/Zürich, February 16, 1998, and M.2131 - BCP/Interamerican/Noverbank/JV, September 15, 2000.</w:t>
      </w:r>
    </w:p>
    <w:p>
      <w:r>
        <w:t>17 Letter from the Minister of Economy dated December 27, 2007, to the board of Groupama SA and Réunica Prévoyance.</w:t>
      </w:r>
    </w:p>
    <w:p>
      <w:r>
        <w:t>18. It is not necessary in the context of the notified operation to pronounce on a more precise delimitation of these markets, as regardless of the market delimitations retained, the conclusions of the analysis remain unchanged.</w:t>
      </w:r>
    </w:p>
    <w:p>
      <w:r>
        <w:t>B. DELIMITATION OF GEOGRAPHICAL MARKETS</w:t>
      </w:r>
    </w:p>
    <w:p>
      <w:r>
        <w:t>19. National and Community decision-making practice has considered that insurance markets, with the exception of certain insurances covering large-scale risks, are of national dimension given consumer preferences, the existence of national legislation and tax constraints, the current structure of these markets, or regulatory systems. The same applies to asset management and employee savings markets.</w:t>
      </w:r>
    </w:p>
    <w:p>
      <w:r>
        <w:t>20. Finally, the markets for the distribution of insurance products have been considered essentially as being of national dimension.</w:t>
      </w:r>
    </w:p>
    <w:p>
      <w:r>
        <w:t>IV. Competitive Analysis</w:t>
      </w:r>
    </w:p>
    <w:p>
      <w:r>
        <w:t>21. In the markets for individual complementary health insurance, collective provident insurance, individual provident insurance, savings and life insurance, supplementary retirement and collective retirement savings, employee savings18, asset management/financial management19, and the insurance brokerage market, the cumulative market share of the parties in 2010 is very modest (less than 5%).</w:t>
      </w:r>
    </w:p>
    <w:p>
      <w:r>
        <w:t>22. Furthermore, in each of these markets, the future group will continue to face competition from many other significant operators, whose market shares are substantial. Thus, the main competitors of the parties are:</w:t>
        <w:br/>
        <w:t>- in the individual health insurance market: MGEN, Groupama, Harmonie Mutuelles, Swiss Life, AXA, MNH, Unéo, Allianz, Pro BTP, and Mutuelle Générale;</w:t>
        <w:br/>
        <w:t>- in the provident insurance markets (individual and collective): AXA, Malakoff-Médéric, AG2R La Mondiale, Pro BTP, Generali, Allianz, Groupama, UNPMF, and IRP Auto;</w:t>
        <w:br/>
        <w:t>- in the savings and life insurance market: CNP Assurances, Cardif, Predica, Generali Vie, AXA, Sogécap, Aviva, AG2R La Mondiale, Mutavie, and Groupama;</w:t>
        <w:br/>
        <w:t>- in the retirement savings market: CNP Assurances, AXA, AG2R La Mondiale, BNP Paribas, Crédit Agricole, Generali, Malakoff-Médéric, Sogécap, Groupama, and Allianz;</w:t>
        <w:br/>
        <w:t>- in the employee savings market: Amundi Group, Crédit Agricole, Société Générale, Natixis Interepargne, BNP Paribas, AXA, Crédit Mutuel CIC, and HSBC;</w:t>
      </w:r>
    </w:p>
    <w:p>
      <w:r>
        <w:t>18 The Novalis Taitbout group has only recently entered this market through the company R2E, established in partnership with AXA, which obtained its approval on June 20, 2011.</w:t>
      </w:r>
    </w:p>
    <w:p>
      <w:r>
        <w:t>19 The Novalis Taitbout group primarily operates through management mandates, while the Humanis group mainly conducts internal portfolio management.</w:t>
      </w:r>
    </w:p>
    <w:p>
      <w:r>
        <w:rPr>
          <w:b/>
        </w:rPr>
        <w:t>[Pages 7–7]</w:t>
      </w:r>
    </w:p>
    <w:p>
      <w:r>
        <w:t>- finally, in the insurance brokerage market (across all risks): Gras Savoye, Marsh &amp; McLennan Companies, Aon France, Verspieren, Siaci-Saint-Honoré, Diot, Filhet Allard, Caninet Bessé, Verlingue, and Assu 2000.</w:t>
      </w:r>
    </w:p>
    <w:p>
      <w:r>
        <w:t>23. In the collective complementary health insurance market, the cumulative market share of the new entity amounts to approximately 9.5% in value. Following the operation, the future group will become the leading operator in this market. However, the new entity will continue to face competition from numerous operators such as Malakoff Médéric (7.6%), AXA (7.3%), AG2R-La Mondiale (6%), Harmonie Mutuelles (5.5%), Allianz (5.2%), ProBTP (5%), Groupama (3.6%), and Uniprévoyance (2.7%). Most of these operators are large social protection groups, major insurance groups, and mutuals, which will be able, following the operation, to exert significant competitive pressure on the new entity.</w:t>
      </w:r>
    </w:p>
    <w:p>
      <w:r>
        <w:t>24. In light of the above elements, the notified operation is not likely to harm competition.</w:t>
      </w:r>
    </w:p>
    <w:p>
      <w:r>
        <w:t>DECIDES</w:t>
      </w:r>
    </w:p>
    <w:p>
      <w:r>
        <w:t>Sole Article: The operation notified under number 11-219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