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https://www.autoritedelaconcurrence.fr/fr/decision/relative-au-respect-des-engagements-figurant-dans-la-decision-de-lautorite-de-la</w:t>
      </w:r>
    </w:p>
    <w:p>
      <w:r>
        <w:t>Pages translated : 38</w:t>
      </w:r>
    </w:p>
    <w:p/>
    <w:p>
      <w:r>
        <w:rPr>
          <w:b/>
        </w:rPr>
        <w:t>[Pages 1–3]</w:t>
      </w:r>
    </w:p>
    <w:p>
      <w:r>
        <w:t>FRENCH REPUBLIC</w:t>
        <w:br/>
        <w:t>Decision No. 20-D-07 of April 7, 2020</w:t>
        <w:br/>
        <w:t>regarding compliance with the commitments set out in the decision of</w:t>
        <w:br/>
        <w:t>the Competition Authority No. 14-D-04 of February 25, 2014</w:t>
        <w:br/>
        <w:t>concerning practices implemented in the online horse racing betting sector</w:t>
        <w:br/>
        <w:t>The Competition Authority (section III),</w:t>
        <w:br/>
        <w:t>Having regard to decision No. 14-D-04 of February 25, 2014, concerning practices implemented in the online horse racing betting sector;</w:t>
        <w:br/>
        <w:t>Having regard to the letter, registered on December 22, 2017, under number 17/0231 R, by which the companies Betclic Enterprises Limited and Zeturf France LTD referred to the Competition Authority the non-compliance by PMU with the commitment to separate the betting pools;</w:t>
        <w:br/>
        <w:t>Having regard to Book IV of the Commercial Code;</w:t>
        <w:br/>
        <w:t>Having regard to the business secrecy decisions No. 18-DSA-251 of August 6, 2018, No. 18-DSA-255 of August 7, 2018, No. 19-DSA-216 of June 17, 2019, No. 18-DSA-437 of December 5, 2018, No. 18-DSA-175 of June 7, 2018, No. 19-DSA-229 of June 28, 2019;</w:t>
        <w:br/>
        <w:t>Having regard to the declassification decisions No. 19-DEC-194 of June 3, 2019, No. 19-DEC-203 of June 6, 2019, No. 19-DEC-252 of July 10, 2019;</w:t>
        <w:br/>
        <w:t>Having regard to opinion No. 2018-A-001 of November 8, 2018, of the Online Gaming Regulatory Authority, requested pursuant to the provisions of II of Article 39 of Law No. 2010-476 of May 12, 2010;</w:t>
        <w:br/>
        <w:t>Having regard to the other documents in the file;</w:t>
        <w:br/>
        <w:t>Having regard to the observations presented by the companies Zeturf France LTD, Betclic Enterprises Limited, the GIE PMU, and the Government Commissioner;</w:t>
        <w:br/>
        <w:t>The rapporteur, the deputy general rapporteur, the Government Commissioner, and the representatives of the companies Betclic Enterprises Limited, Zeturf France LTD, and the GIE PMU heard during the session of the Competition Authority on January 16, 2020;</w:t>
        <w:br/>
        <w:t>Adopts the following decision:</w:t>
      </w:r>
    </w:p>
    <w:p>
      <w:r>
        <w:t>Summary1</w:t>
        <w:br/>
        <w:t>In 2012, the company Betclic Everest Group referred to the Competition Authority (hereinafter "the Authority") practices implemented by the GIE Pari Mutuel Urbain (hereinafter "PMU") in the online horse racing betting sector. To address the identified competition concerns, PMU submitted commitments to the Authority made mandatory by decision No. 14-D-04 of February 25, 2014, mainly consisting of separating its physical and online betting pools.</w:t>
        <w:br/>
        <w:t>By a referral in December 2017, the companies Betclic Enterprises Limited and Zeturf France LTD reported to the Authority a non-compliance by PMU with this commitment.</w:t>
        <w:br/>
        <w:t>In its decision, the Authority found that, regarding foreign races subject to a common pool agreement, PMU has pooled its physical and online betting pools through foreign operators since the entry into force of the commitment to separate the betting pools on December 31, 2015. Five partnerships are involved, and an additional partnership has been recently concluded.</w:t>
        <w:br/>
        <w:t>The Authority considers that this practice constitutes a non-compliance with the commitment to separate the betting pools made mandatory by decision No. 14-D-04.</w:t>
        <w:br/>
        <w:t>The Online Gaming Regulatory Authority (ARJEL) shares this analysis and indicated in its opinion rendered to the Authority that "PMU was prohibited from pooling its online and physical betting pools by any means whatsoever, both concerning foreign and French races."</w:t>
        <w:br/>
        <w:t>In accordance with its decision-making practice, the Authority considers that this practice is serious in itself. Such a practice is all the more serious as the commitments were taken at the initiative of the parties concerned who proposed them. The Authority noted that, in this case, the commitment to separate the pools was unambiguous. Furthermore, it indicated that the breach concerns the commitment that is at the heart of the mechanism aimed at preventing PMU from benefiting the site pmu.fr from the significance of the betting pools collected in the PMU's physical sales point network under monopoly. Finally, the duration of the breach is maximal since it began on the date of entry into force of the commitments, namely December 31, 2015, and continues to this day. However, the foreign races in common pool constitute only a very limited part of PMU's horse racing betting activity during the considered period.</w:t>
        <w:br/>
        <w:t>Consequently, the Authority imposes a financial penalty of 900,000 euros on the GIE PMU.</w:t>
        <w:br/>
        <w:t>1 This summary is strictly informative. Only the reasons for the decision numbered below are authoritative.</w:t>
      </w:r>
    </w:p>
    <w:p>
      <w:r>
        <w:t>TABLE OF CONTENTS</w:t>
        <w:br/>
        <w:t>I. Findings .................................................................................. 5</w:t>
        <w:br/>
        <w:t>A. PROCEDURAL REMINDER ....................................................................................................... 5</w:t>
        <w:br/>
        <w:t>1. DECISION NO. 14-D-04 OF FEBRUARY 25, 2014 .................................................................5</w:t>
        <w:br/>
        <w:t>2. THE PRESENT PROCEDURE ...............................................................................................5</w:t>
        <w:br/>
        <w:t>B. THE SECTOR AND THE COMPANIES CONCERNED ............................................................ 6</w:t>
        <w:br/>
        <w:t>1. THE HORSE RACING BETTING SECTOR ...................................................................................6</w:t>
        <w:br/>
        <w:t>a) Reminder of the regulatory context ...................................................................6</w:t>
        <w:br/>
        <w:t>b) The dynamics of horse racing betting ..................................................................6</w:t>
        <w:br/>
        <w:t>c) Bets placed in France on foreign races ...............................................................7</w:t>
        <w:br/>
        <w:t>2. THE COMPANIES CONCERNED .......................................................................................8</w:t>
        <w:br/>
        <w:t>a) PMU .............................................................................................................8</w:t>
        <w:br/>
        <w:t>b) Betclic Enterprises Limited .............................................................................8</w:t>
        <w:br/>
        <w:t>c) Zeturf France LTD ...........................................................................................9</w:t>
        <w:br/>
        <w:t>C. THE COMMITMENTS MADE BY PMU UNDER DECISION NO. 14-D-04 OF FEBRUARY 25,</w:t>
        <w:br/>
        <w:t>2014 ..................................................................................................................... 9</w:t>
        <w:br/>
        <w:t>1. PMU'S COMMITMENTS ...........................................................................................9</w:t>
        <w:br/>
        <w:t>2. THE EVOLUTION OF THE MARKET SHARE OF ONLINE HORSE RACING BETTING OPERATORS</w:t>
        <w:br/>
        <w:t>SINCE THE ENTRY INTO FORCE OF THE COMMITMENTS ............................................... 10</w:t>
        <w:br/>
        <w:t>D. THE PRACTICES REPORTED ............................................................................................. 10</w:t>
        <w:br/>
        <w:t>E. THE PRACTICES OBSERVED ........................................................................................... 11</w:t>
        <w:br/>
        <w:t>1. COMMON POOL PARTNERSHIPS ON FOREIGN RACES CONCLUDED BY PMU .................. 12</w:t>
        <w:br/>
        <w:t>a) Provisions of the agreements ................................................................................. 12</w:t>
        <w:br/>
        <w:t>b) Evolution of contracts concluded between PMU and its foreign partners .. 13</w:t>
        <w:br/>
        <w:t>c) Effects of partnerships on the pooling of online and offline betting pools of PMU ................................................................................................... 15</w:t>
        <w:br/>
        <w:t>2. THE AMOUNT OF BETS COLLECTED BY PMU ON FOREIGN RACES IN COMMON POOL .... 15</w:t>
        <w:br/>
        <w:t>3. WEIGHT OF BETS COLLECTED BY PMU ONLINE AND OFFLINE IN THE CONTEXT OF COMMON POOL PARTNERSHIPS ON FOREIGN RACES ............................. 16</w:t>
        <w:br/>
        <w:t>4. MONITORING OF THE IMPLEMENTATION OF THE COMMITMENT TO SEPARATE THE POOLS ...... 17</w:t>
        <w:br/>
        <w:t>F. THE OPINION OF ARJEL ................................................................................................................ 18</w:t>
        <w:br/>
        <w:t>G. CONCLUSION OF THE REPORT ............................................................................................... 19</w:t>
      </w:r>
    </w:p>
    <w:p>
      <w:r>
        <w:rPr>
          <w:b/>
        </w:rPr>
        <w:t>[Pages 4–6]</w:t>
      </w:r>
    </w:p>
    <w:p>
      <w:r>
        <w:t xml:space="preserve">II. Discussion .................................................................................. 20  </w:t>
        <w:br/>
        <w:t xml:space="preserve">A. ASSESSMENT OF THE NON-COMPLIANCE WITH THE COMMITMENT TO SEPARATE THE PMU BETTING POOLS .......................................................................................................... 20  </w:t>
        <w:br/>
        <w:t xml:space="preserve">1. ON THE SCOPE OF THE COMMITMENT ............................................................................... 21  </w:t>
        <w:br/>
        <w:t xml:space="preserve">a) On the applicable principles .......................................................................... 21  </w:t>
        <w:br/>
        <w:t xml:space="preserve">b) Assessment in this case ................................................................................ 22  </w:t>
        <w:br/>
        <w:t xml:space="preserve">2. ON THE ROLE OF THE MANDATARY ................................................................................ 24  </w:t>
        <w:br/>
        <w:t xml:space="preserve">3. ON THE POSSIBILITY FOR THE PMU TO SEPARATE ITS POOLS ........................................ 27  </w:t>
        <w:br/>
        <w:t xml:space="preserve">4. ON THE DURATION OF THE PRACTICES ........................................................................... 28  </w:t>
        <w:br/>
        <w:t xml:space="preserve">5. CONCLUSION .................................................................................................................. 29  </w:t>
        <w:br/>
        <w:t xml:space="preserve">B. ON THE ATTRIBUTION OF LIABILITY ................................................................................ 29  </w:t>
        <w:br/>
        <w:t xml:space="preserve">C. ON THE SANCTION ................................................................................................................. 29  </w:t>
        <w:br/>
        <w:t xml:space="preserve">1. ON THE CEILING OF SANCTIONS ....................................................................................... 30  </w:t>
        <w:br/>
        <w:t xml:space="preserve">a) Ceiling applicable to the GIE PMU ................................................................... 30  </w:t>
        <w:br/>
        <w:t xml:space="preserve">b) On the sanction ceiling ...................................................................................... 31  </w:t>
        <w:br/>
        <w:t xml:space="preserve">2. ON THE SEVERITY OF THE PRACTICES ............................................................................. 33  </w:t>
        <w:br/>
        <w:t>3. ON THE IMPACT OF THE IDENTIFIED FAILURES ON THE COMPETITION THAT THE</w:t>
        <w:br/>
        <w:t xml:space="preserve">COMMITMENTS AIMED TO PRESERVE ............................................................................ 34  </w:t>
        <w:br/>
        <w:t xml:space="preserve">4. ON THE AMOUNT OF THE SANCTION ................................................................................ 37  </w:t>
        <w:br/>
        <w:t>DECISION ..................................................................................................................... 38</w:t>
      </w:r>
    </w:p>
    <w:p>
      <w:r>
        <w:t xml:space="preserve">I. Findings  </w:t>
        <w:br/>
        <w:t xml:space="preserve">A. REMINDER OF PROCEDURE  </w:t>
        <w:br/>
        <w:t xml:space="preserve">1. DECISION NO. 14-D-04 OF FEBRUARY 25, 2014  </w:t>
        <w:br/>
        <w:t xml:space="preserve">1. By letter registered on January 2, 2012, under number 12/0001 F, the company Betclic Everest Group referred to the Authority practices implemented by the GIE Pari Mutuel Urbain in the online horse betting sector.  </w:t>
        <w:br/>
        <w:t xml:space="preserve">2. The PMU submitted commitments to the Authority, made mandatory by decision no. 14-D-04 of February 25, 2014, primarily consisting of separating its physical and online betting pools.  </w:t>
        <w:br/>
        <w:t xml:space="preserve">3. This decision was not subject to any appeal.  </w:t>
        <w:br/>
        <w:t xml:space="preserve">2. THE PRESENT PROCEDURE  </w:t>
        <w:br/>
        <w:t xml:space="preserve">4. By letter registered on December 22, 2017, under number 17/0231 R, the companies Betclic Entreprises Limited (hereinafter: "Betclic") and Zeturf France Ltd (hereinafter: "Zeturf") referred to the Authority for non-compliance by the PMU with the commitment to separate the betting pools, made mandatory by decision no. 14-D-04.  </w:t>
        <w:br/>
        <w:t xml:space="preserve">5. Under the provisions of II of Article 39 of Law No. 2010-476 of May 12, 2010, relating to the opening up to competition and regulation of the online gambling and betting sector, "The Competition Authority communicates to the Online Gaming Regulatory Authority any referral falling within its jurisdiction. […] When consulted by the Competition Authority on practices of which it is seized in the gambling and betting sector, the Online Gaming Regulatory Authority attaches to its opinion, within the prescribed time, all useful elements for the instruction of the case that are in its possession." In application of these provisions, the Online Gaming Regulatory Authority (hereinafter: "ARJEL") was seized on September 12, 2018, of the facts noted in the referral by the companies Betclic and Zeturf and issued in response the opinion no. 2018-A-001 of November 8, 2018.  </w:t>
        <w:br/>
        <w:t>6. On July 11, 2019, a report was notified to the PMU, in accordance with the provisions of Article R. 464-9 of the Commercial Code. The Government Commissioner and the seizing parties responded by letters dated October 1, 2019. The PMU responded by letter dated October 2, 2019.</w:t>
      </w:r>
    </w:p>
    <w:p>
      <w:r>
        <w:t xml:space="preserve">B. THE SECTOR AND THE COMPANIES CONCERNED  </w:t>
        <w:br/>
        <w:t xml:space="preserve">1. THE HORSE RACING BETTING SECTOR  </w:t>
        <w:br/>
        <w:t xml:space="preserve">a) Reminder of the regulatory context  </w:t>
        <w:br/>
        <w:t xml:space="preserve">7. The gambling sector has long been structured in the form of legal monopolies, entrusted to:  </w:t>
        <w:br/>
        <w:t xml:space="preserve">- La Française des Jeux (FDJ) for scratch and draw games and sports betting;  </w:t>
        <w:br/>
        <w:t xml:space="preserve">- PMU for horse racing betting and casinos for circle games.  </w:t>
        <w:br/>
        <w:t xml:space="preserve">8. Considering that such monopolies were contrary to the principle of free provision of services, as set out in Article 56 of the TFEU, the European Commission, in a reasoned opinion dated June 27, 2007, requested France to open this sector to competition.  </w:t>
        <w:br/>
        <w:t xml:space="preserve">9. The law of May 12, 2010, thus organized an opening to competition, the conditions and stakes of which were analyzed by the Authority in its opinion no. 11-A-02 of January 20, 2011. Despite its title, the law of May 12, 2010, did not aim so much to open the French online gambling and betting market to competition as to regulate an illegal offer aimed at French players, the proliferation of which posed a threat to public order, public health, and the State's tax resources. As the Authority noted in its aforementioned opinion, "compared to the opening to competition of other economic sectors, such as the electronic communications, gas, or rail transport sectors, the system adopted for online gambling and betting does not result from a liberalization, but primarily from a desire for regulation aimed at framing an already existing activity, exercised illegally."  </w:t>
        <w:br/>
        <w:t xml:space="preserve">b) The dynamics of horse racing betting  </w:t>
        <w:br/>
        <w:t xml:space="preserve">10. During the period 2013/2018, the total stakes collected on horse racing betting continuously decreased: across all betting channels, it reached approximately 9.2 billion euros in 2013 compared to 7.9 billion euros in 2018, despite a slight rebound in 2017.  </w:t>
        <w:br/>
        <w:t>11. Nevertheless, regarding online horse racing betting, the downward trend seems to have reversed since 2017: the latter indeed experienced two consecutive years (2017 and 2018) of increased stakes collected. Thus, according to the ARJEL activity report 2017-2018, the stakes placed on online horse racing betting in 2018 reached 1.049 billion euros, the highest amount recorded since 2013. However, at this stage, the increase in online betting does not compensate for the decrease in physical stakes collected.</w:t>
      </w:r>
    </w:p>
    <w:p>
      <w:r>
        <w:rPr>
          <w:b/>
        </w:rPr>
        <w:t>[Pages 7–9]</w:t>
      </w:r>
    </w:p>
    <w:p>
      <w:r>
        <w:t>12. Furthermore, the PMU's physical points of sale remain by far the main channel for placing horse racing bets in France: they accounted for 87.7% of total bets on horse racing in 2017 and 87% in 2018. The following table summarizes the amounts collected in physical and online betting on horse racing since 2013:</w:t>
      </w:r>
    </w:p>
    <w:p>
      <w:r>
        <w:t>Amounts collected on horse racing bets</w:t>
        <w:br/>
        <w:t>2013 2014 2015 2016 2017 2018</w:t>
        <w:br/>
        <w:t>(millions of euros)</w:t>
        <w:br/>
        <w:t>Physical (PMU) 8,055 7,588 7,363 7,145 7,164 6,907</w:t>
        <w:br/>
        <w:t>Online (all operators) 1,111 1,034 1,016 924 999 1,049</w:t>
        <w:br/>
        <w:t>TOTAL horse racing bets 9,166 8,622 8,379 8,069 8,163 7,956</w:t>
      </w:r>
    </w:p>
    <w:p>
      <w:r>
        <w:t>c) Bets placed in France on foreign races</w:t>
        <w:br/>
        <w:t>13. The PMU and other operators offering horse racing bets in France have the possibility to offer bets on all French and foreign races that are included in the racing calendar, which is approved by decree by the Minister of Agriculture and Food, upon proposal from the Fédération Nationale des Courses Françaises. These bets concern both races taking place at French racetracks and races occurring abroad. For bets on foreign races to be offered in France, it is necessary that the two parent companies of the PMU races negotiate agreements with their foreign counterparts to obtain the right to market in France bets on the races they organize in their territory. These races are then integrated into the racing calendar on which betting is authorized in France, after approval from the Minister of Agriculture. In this context, all licensed operators in France have the right to market bets on these foreign races.</w:t>
      </w:r>
    </w:p>
    <w:p>
      <w:r>
        <w:t>14. In its opinion, ARJEL notes a steady increase in the number of foreign races included in the calendar as well as the proportion they represent in the total number of races available for betting in France, rising from 11% in 2011 to 24% in 2017. Nevertheless, ARJEL points out that this trend is likely to change since the 2019 calendar presents 44% fewer foreign races compared to the 2018 calendar. ARJEL also notes that "Foreign races represent a significant proportion of the horse racing market, since despite lower average stakes per meeting than the average of all meetings, they account for around [10-20]% of the total amount of online stakes during these four periods."</w:t>
      </w:r>
    </w:p>
    <w:p>
      <w:r>
        <w:t>2. THE COMPANIES CONCERNED</w:t>
        <w:br/>
        <w:t>a) The PMU</w:t>
        <w:br/>
        <w:t>15. While the placing of horse racing bets was originally permitted only within racetracks, it was authorized outside of these by the finance law of April 16, 1930, which led to the creation in 1931, by these same racing companies, of a common service: the Pari Mutuel Urbain (PMU). In order to preserve public and social order, the law of June 2, 1981 reserved the organization of horse races and the placing of bets on them exclusively to racing companies. The decree of October 4, 1983 transformed the PMU into an economic interest group (GIE), a legal form that the PMU has retained since.</w:t>
      </w:r>
    </w:p>
    <w:p>
      <w:r>
        <w:t>16. Today, the GIE PMU comprises 66 racing companies, which are of two types:</w:t>
        <w:br/>
        <w:t>- local racing companies, which organize horse races at the racetracks they operate;</w:t>
        <w:br/>
        <w:t>- the two parent companies (France Galop for flat and jump races and the Société d'Encouragement du Cheval Français for trotting races) whose mission is to organize and regulate races at the national level.</w:t>
      </w:r>
    </w:p>
    <w:p>
      <w:r>
        <w:t>17. The GIE status of the PMU implies fiscal transparency. The PMU distributes its entire net profit to the racing companies, thereby contributing to the financing of the French equine sector.</w:t>
      </w:r>
    </w:p>
    <w:p>
      <w:r>
        <w:t>18. The PMU exercises its monopoly on placing physical horse racing bets through a network of approximately 13,350 physical points of sale.</w:t>
      </w:r>
    </w:p>
    <w:p>
      <w:r>
        <w:t>19. Regarding online horse racing bets, the law of May 12, 2010 ended the PMU's legal monopoly on online horse racing bets. Since then, the PMU has continued its online horse racing betting activity after obtaining approval from ARJEL on September 23, 2010.</w:t>
      </w:r>
    </w:p>
    <w:p>
      <w:r>
        <w:t>20. On the other hand, the law of May 12, 2010 allowed the PMU, starting June 7, 2010, to expand its activity to sports betting as well as online poker, under the single brand PMU and via a single site: pmu.fr.</w:t>
      </w:r>
    </w:p>
    <w:p>
      <w:r>
        <w:t>21. The GIE PMU is registered with the Paris Trade and Companies Register under number 775 671 258.</w:t>
      </w:r>
    </w:p>
    <w:p>
      <w:r>
        <w:t>b) Betclic Enterprises Limited</w:t>
        <w:br/>
        <w:t>22. Betclic is a Maltese company established in 2010, specializing in the online gaming sector, which operates the Betclic brand.</w:t>
      </w:r>
    </w:p>
    <w:p>
      <w:r>
        <w:t>23. Since 2010, it has held 3 licenses issued by ARJEL allowing it to offer online sports betting (fixed-odds betting and mutual betting), online horse racing betting (simple and complex bets) in mutual form, and online circle games.</w:t>
      </w:r>
    </w:p>
    <w:p>
      <w:r>
        <w:t>c) Zeturf France LTD</w:t>
        <w:br/>
        <w:t>24. Zeturf is a Maltese company, originally specialized in horse racing advice and betting.</w:t>
      </w:r>
    </w:p>
    <w:p>
      <w:r>
        <w:t>25. Since 2010, it has held a license issued by ARJEL for online horse racing betting and since 2014 a license for online sports betting.</w:t>
      </w:r>
    </w:p>
    <w:p>
      <w:r>
        <w:t>C. COMMITMENTS MADE BY THE PMU IN THE FRAMEWORK OF DECISION NO. 14-D-04 OF FEBRUARY 25, 2014</w:t>
        <w:br/>
        <w:t>1. COMMITMENTS OF THE PMU</w:t>
        <w:br/>
        <w:t>26. Following a preliminary assessment of competition concerns, the Authority found that the PMU's practice of primarily pooling the betting amounts collected in its physical network, under legal monopoly, and those collected online was likely to allow it to use the resources of its legal monopoly on physical horse racing betting to enhance the attractiveness of its offer in the competitive online horse racing betting market, to the detriment of its competitors.</w:t>
      </w:r>
    </w:p>
    <w:p>
      <w:r>
        <w:t>27. In response to the identified competition concerns, the PMU submitted commitments to the Authority, which were subsequently made mandatory by decision no. 14-D-04 of February 25, 2014.</w:t>
      </w:r>
    </w:p>
    <w:p>
      <w:r>
        <w:t>28. The PMU committed to:</w:t>
        <w:br/>
        <w:t>- separate the online and physical betting amounts of the PMU (commitment 1);</w:t>
        <w:br/>
        <w:t>- modify customer pathways on the PMU website to separate pages related to online betting and physical betting (commitment 2.1);</w:t>
        <w:br/>
        <w:t>- reiterate in the future the establishment of a functional separation between the customer bases and the commercial teams of the PMU responsible for the monopoly activity and the competitive activity (commitment 2.2);</w:t>
        <w:br/>
        <w:t>- maintain in the future the accounting separation between online and physical horse racing betting activities (commitment 2.3).</w:t>
      </w:r>
    </w:p>
    <w:p>
      <w:r>
        <w:t>29. The present procedure concerns the PMU's compliance with its commitment 1, as drafted: "The PMU commits to effectively separate its unique pool of betting amounts between the stakes collected on its site pmu.fr and those collected on its other channels for placing horse racing bets, by September 30, 2015. In case of implementation difficulties, the PMU may, through the intermediary of the representative (see section 3 below), request the Authority to grant it an additional period of up to 3 months."</w:t>
      </w:r>
    </w:p>
    <w:p>
      <w:r>
        <w:t>30. In accordance with Article 3.1 of the commitments, the PMU proposed to the Authority an "independent representative in charge of monitoring the implementation of its commitment to separate its physical and online betting amounts." The firm KPMG was approved by the Authority as an independent representative by letter dated April 8, 2014.</w:t>
      </w:r>
    </w:p>
    <w:p>
      <w:r>
        <w:rPr>
          <w:b/>
        </w:rPr>
        <w:t>[Pages 10–12]</w:t>
      </w:r>
    </w:p>
    <w:p>
      <w:r>
        <w:t>31. By letter dated June 19, 2014, the Competition Authority accepted the request for an extension of the deadline made by the PMU and agreed to postpone the date for the effective implementation of the separation of the betting pools to December 31, 2015.</w:t>
      </w:r>
    </w:p>
    <w:p>
      <w:r>
        <w:t>2. THE EVOLUTION OF THE MARKET SHARE OF ONLINE HORSE RACING BETTING OPERATORS SINCE THE ENTRY INTO FORCE OF THE COMMITMENTS</w:t>
      </w:r>
    </w:p>
    <w:p>
      <w:r>
        <w:t>32. In its opinion no. 2018-A 001 dated November 8, 2018, ARJEL provided the market shares of the PMU and its competitors in the online horse racing betting market, based on the supervisory data it collects from all licensed operators.</w:t>
      </w:r>
    </w:p>
    <w:p>
      <w:r>
        <w:t>33. It follows that from the entry into force of the commitment to separate the betting pools at the end of 2015, the PMU lost [0-5] percentage points of market share in online horse racing betting between November 2015 and March 2016. Since then, its market share has stabilized around [70-80] %. Meanwhile, Zeturf's market share has increased to reach [10-20] %. Betclic, on the other hand, remains a minor player in this market: its market share has only slightly increased to just [0-5] % at the beginning of 2018.</w:t>
      </w:r>
    </w:p>
    <w:p>
      <w:r>
        <w:t>34. ARJEL considers that "the separation of the pools, implemented in December 2015, had a significant impact on the online horse racing betting market, which has been experiencing attrition since 2013." Indeed, only a portion of the decline in the stakes collected by the PMU has been compensated by an increase in the stakes collected by alternative operators, with Zeturf being at the forefront. The year 2016 was thus marked by an acceleration in the decline of stakes collected on online horse racing betting. In this context, the commitment to separate the pools has been considered by some analysts as one of the causes of the loss of attractiveness of online horse racing betting.</w:t>
      </w:r>
    </w:p>
    <w:p>
      <w:r>
        <w:t>35. However, the trend seems to have reversed since 2017, with an increase in the stakes collected on online horse racing betting, which tends to relativize the supposed link between the separation of the PMU's betting pools and the decline in stakes collected online. ARJEL attributes this new dynamic to an increase in the number of bettors, which is itself linked to an increase in the "player return rate" (or "TRJ", the proportion of collected bets redistributed to winning players) and the volume of bonuses distributed by horse racing betting operators, which has improved the attractiveness of online horse racing betting.</w:t>
      </w:r>
    </w:p>
    <w:p>
      <w:r>
        <w:t>D. THE CONDEMNED PRACTICES</w:t>
      </w:r>
    </w:p>
    <w:p>
      <w:r>
        <w:t>36. Betclic and Zeturf consider that "since at least the spring of 2017, a little over a year after implementing its commitment, the PMU has once again pooled its 'physical' and online betting pools in the context of bets on certain foreign races," within the framework of common pool partnerships concluded by the PMU with foreign operators.</w:t>
      </w:r>
    </w:p>
    <w:p>
      <w:r>
        <w:t>37. On April 29, 2017, the PMU indeed launched a new horse racing bet called "Simple International," offered to French players both in retail outlets and online on foreign races, particularly focusing on South African, Irish races, and the Yonkers racetrack in the United States.</w:t>
      </w:r>
    </w:p>
    <w:p>
      <w:r>
        <w:t>38. This new bet would be in addition to the "Couplé Ordre International" and "Trio Ordre International" bets already offered by the PMU across its various betting channels.</w:t>
      </w:r>
    </w:p>
    <w:p>
      <w:r>
        <w:t>39. The seizing parties then noted that for these bets, the stakes and odds were identical, whether for physical or online bets. Such similarity could only be explained, according to the seizing parties, by a pooling of the PMU's physical and online stakes.</w:t>
      </w:r>
    </w:p>
    <w:p>
      <w:r>
        <w:t>40. They estimate the amount of stakes collected by the PMU on the relevant foreign races to be €1.042 billion.</w:t>
      </w:r>
    </w:p>
    <w:p>
      <w:r>
        <w:t>41. The seizing companies do not contest the compliance with the other commitments made by the PMU under decision no. 14-D-04.</w:t>
      </w:r>
    </w:p>
    <w:p>
      <w:r>
        <w:t>E. THE OBSERVED PRACTICES</w:t>
      </w:r>
    </w:p>
    <w:p>
      <w:r>
        <w:t>42. As a preliminary matter, it is important to distinguish between the notions of "common pool" and "separate pool" regarding bets placed in France on foreign races, as these two notions pertain to the treatment of betting pools between betting operators. Thus, a "common pool" partnership consists of the PMU pooling its own betting pools with that of a foreign operator. Conversely, we refer to foreign races as "in a separate pool" when the PMU markets bets on foreign races in France without pooling the stakes it collects with those collected by the foreign operator.</w:t>
      </w:r>
    </w:p>
    <w:p>
      <w:r>
        <w:t>43. Similarly, it is necessary to distinguish "separation of pools" from "pooling of pools," depending on whether the PMU's stakes collected online and physically are treated separately or aggregated.</w:t>
      </w:r>
    </w:p>
    <w:p>
      <w:r>
        <w:t>44. In this case, the PMU markets bets on foreign races in France in two forms:</w:t>
        <w:br/>
        <w:t>- in the first case, it markets bets in a separate pool on foreign races, that is to say, based on the stakes collected solely by itself. Such bets do not pose any difficulty in terms of compliance with the commitments, as the PMU does not engage in pooling between its physical and online betting pools since the entry into force of the commitments. More than 95% of the stakes collected by the PMU on foreign races are collected in this form;</w:t>
        <w:br/>
        <w:t>- in the second case, the PMU markets bets on foreign races within the framework of common pool agreements with a foreign operator, both in its physical and online channels. It is these races that are targeted in the seizure.</w:t>
      </w:r>
    </w:p>
    <w:p>
      <w:r>
        <w:t>45. The various common pool partnerships on foreign races concluded by the PMU are first presented (1). Secondly, the amount of stakes collected by the PMU within the framework of these partnerships is established (2). Thirdly, the effect of the partnerships on the odds offered by the PMU on these races in its physical network and on its website is presented (3). Lastly, it is shown that the stakes collected by the PMU in its physical network represent a substantial share of the common pool of these partnerships (4).</w:t>
      </w:r>
    </w:p>
    <w:p>
      <w:r>
        <w:t>1. COMMON POOL PARTNERSHIPS ON FOREIGN RACES CONCLUDED BY THE PMU</w:t>
      </w:r>
    </w:p>
    <w:p>
      <w:r>
        <w:t>46. Between the date of entry into force of the commitments and the date of the report, the PMU had five common pool partnerships with foreign operators, namely: Tote Ireland (Ireland), Phumelela Gaming and Leisure (South Africa), Yonkers Racing Corp (United States), Norsk Rikstoto (Norway), and ATG (Sweden). Since the report, the PMU has specified that a new agreement with the Hong Kong Jockey Club is in the process of being finalized.</w:t>
      </w:r>
    </w:p>
    <w:p>
      <w:r>
        <w:t>a) Provisions of the agreements</w:t>
      </w:r>
    </w:p>
    <w:p>
      <w:r>
        <w:t>47. It appears from the file that the common pool partnerships on foreign races all operate in a similar manner.</w:t>
      </w:r>
    </w:p>
    <w:p>
      <w:r>
        <w:t>48. The agreements concluded by the PMU with the aforementioned foreign operators allow it to market certain types of bets on foreign races in France, which are also offered by all operators participating in the common pool in their respective territories. For the five partnerships currently in force, the PMU is authorized to offer these bets both online and physically.</w:t>
      </w:r>
    </w:p>
    <w:p>
      <w:r>
        <w:t>49. The agreements define the type of bets that the PMU is authorized to offer in a common pool on its territory. The PMU cannot, on its own initiative, offer a new type of bet not provided for in the framework of the partnerships.</w:t>
      </w:r>
    </w:p>
    <w:p>
      <w:r>
        <w:t>50. The foreign operator organizing the bets determines the applicable rules for the concerned bets, particularly the player return rate (TRJ). The TRJ may evolve over time based on the decisions of the foreign operator.</w:t>
      </w:r>
    </w:p>
    <w:p>
      <w:r>
        <w:rPr>
          <w:b/>
        </w:rPr>
        <w:t>[Pages 13–15]</w:t>
      </w:r>
    </w:p>
    <w:p>
      <w:r>
        <w:t>51. The partnership contracts also provide for the distribution of the profit made on each bet between the organizer of the bets and its partners (and possibly other rights holders on the races), which corresponds to the stakes not redistributed to the players.</w:t>
      </w:r>
    </w:p>
    <w:p>
      <w:r>
        <w:t>52. The foreign operator is also the totalizer of the pools collected by the various participants in the common pool: it receives and processes information related to the bets placed and the stakes collected by all its partners. Based on this information, the operator calculates the odds of the bets, which must necessarily be identical for all participants in the common pool, as well as the winnings to be distributed.</w:t>
      </w:r>
    </w:p>
    <w:p>
      <w:r>
        <w:t>b) Evolution of contracts concluded between the PMU and its foreign partners</w:t>
      </w:r>
    </w:p>
    <w:p>
      <w:r>
        <w:t>53. The agreements concluded by the PMU have evolved with the entry into force of the commitment to separate the pools. While they initially covered both the collection of stakes in the physical network and on the PMU website, separate contracts were subsequently concluded. According to the PMU, it "reorganized its common pool partnership contracts on foreign races, precisely to take into account the commitment made to the Authority in 2014, by organizing two distinct contractual relationships with the same foreign operator depending on whether the stakes collected on the races it organizes are done through the PMU's physical network or through the pmu.fr website."</w:t>
      </w:r>
    </w:p>
    <w:p>
      <w:r>
        <w:t>54. In response to the report, the PMU specified that "this distinction for physical and online horse racing bets was a necessity arising from the implementation of the commitment to separate the pools. The collection of stakes on these foreign partnerships in common pool is now done through two distinct channels, and it had to be contracted separately. Moreover, having to communicate to ARJEL all its partnerships for its online activities, the PMU also had to distinguish them for this reason."</w:t>
      </w:r>
    </w:p>
    <w:p>
      <w:r>
        <w:t>55. Between 2012 and 2015, the PMU concluded two common pool partnerships with foreign operators (Tote Ireland in Ireland, Phumelela in South Africa) that covered both the collection of stakes online and offline. These two partnerships were modified at the end of 2015 or the very beginning of 2016: a common pool partnership specifically covering stakes collected online was then concluded, while the agreement on stakes collected offline remained unchanged.</w:t>
      </w:r>
    </w:p>
    <w:p>
      <w:r>
        <w:t>56. The partnership concluded in 2016 with Yonkers initially involved an agreement covering the collection of offline stakes. While the principle of an agreement on the collection of online stakes was anticipated from that date, such an agreement was only concluded in 2017. In any case, the PMU did not market common pool bets at Yonkers racetrack on its website in 2016.</w:t>
      </w:r>
    </w:p>
    <w:p>
      <w:r>
        <w:t>57. Finally, the two most recent partnerships (Norway and Sweden), concluded in 2018, immediately involved two separate contracts for stakes collected online and offline.</w:t>
      </w:r>
    </w:p>
    <w:p>
      <w:r>
        <w:t>58. It follows from these elements that at the date of entry into force of the commitments, all common pool partnerships were subject to separate contracts for the collection of online stakes, on the one hand, and the collection of offline stakes, on the other.</w:t>
      </w:r>
    </w:p>
    <w:p>
      <w:r>
        <w:t>59. Finally, from the entry into force of the commitments until the date of this report, all common pool partnerships concluded by the PMU were non-exclusive. Only the initial contract concluded with Tote Ireland provided for exclusivity for the PMU both for online and offline stake collection in France. However, this clause disappeared during the revision of the contract, concurrently with the entry into force of the commitment to separate the pools. Thus, there is currently no contractual impediment preventing alternative operators active in France from concluding the same type of agreement with foreign operators.</w:t>
      </w:r>
    </w:p>
    <w:p>
      <w:r>
        <w:t>60. The following table summarizes the date of signature, the scope, and any revisions of the various foreign partnership agreements concluded by the PMU:</w:t>
        <w:br/>
        <w:t>Initial Contracts Revised Contracts</w:t>
        <w:br/>
        <w:t>Foreign Partners Date of Scope Date of Signature Scope</w:t>
        <w:br/>
        <w:t>Signature</w:t>
        <w:br/>
        <w:t>January 6, 2016</w:t>
        <w:br/>
        <w:t>Unique contract for the Signature of a separate contract</w:t>
        <w:br/>
        <w:t>Tote Ireland collection of online and 10 December covering the collection</w:t>
        <w:br/>
        <w:t>(Ireland) with retroactive effect 2015) of offline stakes, with exclusivity</w:t>
        <w:br/>
        <w:t>granted to the PMU in France</w:t>
        <w:br/>
        <w:t>Phumelela</w:t>
        <w:br/>
        <w:t>Gaming and Unique contract covering the Signature of a separate contract</w:t>
        <w:br/>
        <w:t>Leisure October 2, 2014 collection online and offline, December 15, covering the collection</w:t>
        <w:br/>
        <w:t>(South Africa) without exclusivity online (non-exclusive)</w:t>
        <w:br/>
        <w:t>Contract covering the</w:t>
        <w:br/>
        <w:t>April 28, 2016 collection of offline stakes, without</w:t>
        <w:br/>
        <w:t>Yonkers exclusivity</w:t>
        <w:br/>
        <w:t>Racing Corp</w:t>
        <w:br/>
        <w:t>(USA)</w:t>
        <w:br/>
        <w:t>Contract covering the</w:t>
        <w:br/>
        <w:t>April 21, 2017 collection of online stakes, without</w:t>
        <w:br/>
        <w:t>exclusivity</w:t>
        <w:br/>
        <w:t>Norsk 2 separate contracts for the</w:t>
        <w:br/>
        <w:t>Rikstoto April 4, 2018 collection online and offline,</w:t>
        <w:br/>
        <w:t>(Norway) without exclusivity</w:t>
        <w:br/>
        <w:t>2 separate contracts for the</w:t>
        <w:br/>
        <w:t>ATG (Sweden) May 27, 2018 collection online and offline,</w:t>
        <w:br/>
        <w:t>without exclusivity</w:t>
      </w:r>
    </w:p>
    <w:p>
      <w:r>
        <w:t>61. The seizing companies stated during the investigation that they had not concluded any common pool agreements on foreign races. They attribute this situation to the fact that, according to them, "On the one hand, the PMU [...] has privileged and well-established relationships with foreign operators, which lead to overshadowing alternative operators with respect to them. On the other hand, and above all, it is precisely the volume of clients and stakes collected by this key player, the PMU, that interests foreign operators. However, this volume is not replicable by alternative operators."</w:t>
      </w:r>
    </w:p>
    <w:p>
      <w:r>
        <w:t>Nevertheless, the seizing parties have neither documented their efforts to conclude such agreements nor the refusals they might have encountered.</w:t>
      </w:r>
    </w:p>
    <w:p>
      <w:r>
        <w:t>62. On the contrary, the PMU argued in its response to the Report that the company Zeturf had concluded a common pool agreement with the operator Phumelela during the first half of 2019, which Zeturf confirmed in a session before the College.</w:t>
      </w:r>
    </w:p>
    <w:p>
      <w:r>
        <w:t>c) Effects of partnerships on the pooling of online and offline betting pools of the PMU</w:t>
      </w:r>
    </w:p>
    <w:p>
      <w:r>
        <w:t>63. Considering the operation of the common pool agreements concluded by the PMU on foreign races presented above, it appears that the foreign operator adds together all the pools collected by itself and all of its partners to calculate the betting odds. Thus, when the PMU has a common pool agreement covering both its online and offline betting pools with a foreign operator, its two betting pools are pooled, along with other pools, into a single pool to determine the winnings for bettors, through the foreign operator.</w:t>
      </w:r>
    </w:p>
    <w:p>
      <w:r>
        <w:t>64. It also results that the odds offered by the foreign operator in its territory and by all of its partners are necessarily identical, due to the pooling of the pools carried out. Under these conditions, the PMU is able to offer foreign races on its website and in its physical network with identical odds, which corresponds exactly to the situation that prevailed for all bets marketed by the PMU before the entry into force of the commitments.</w:t>
      </w:r>
    </w:p>
    <w:p>
      <w:r>
        <w:t>65. The existence of a single common pool contract covering online or offline collection or two separate contracts leads to the same result regarding the odds offered by the PMU online and offline, since in both cases, the two betting pools of the PMU are pooled by the foreign operator.</w:t>
      </w:r>
    </w:p>
    <w:p>
      <w:r>
        <w:t>66. The effect of the partnerships on the odds offered on foreign races in common pool across its various betting channels is not contested by the PMU.</w:t>
      </w:r>
    </w:p>
    <w:p>
      <w:r>
        <w:t>2. THE AMOUNT OF STAKES COLLECTED BY THE PMU ON FOREIGN RACES IN COMMON POOL</w:t>
      </w:r>
    </w:p>
    <w:p>
      <w:r>
        <w:t>67. The following table summarizes the information provided by the PMU regarding the stakes collected on foreign races in common pool since 2012:</w:t>
        <w:br/>
        <w:t>Stakes collected by the PMU on</w:t>
        <w:br/>
        <w:t>foreign races in France 2012 2013 2014 2015 2016 2017 2018</w:t>
        <w:br/>
        <w:t>(in millions of euros)</w:t>
        <w:br/>
        <w:t>OFFLINE common pool [35-40] [25-30] [3-4] [10-15] [20-25] [20-25] [20-25]</w:t>
        <w:br/>
        <w:t>ONLINE common pool [6-7] [5-6] [0-1] [1-2] [0-1] [1-2] [3-4]</w:t>
        <w:br/>
        <w:t>TOTAL common pool [40-45] [30-35] [3-4] [10-15] [20-25] [20-25] [25-30]</w:t>
      </w:r>
    </w:p>
    <w:p>
      <w:r>
        <w:t>68. It follows from the data above that the amount of stakes collected by the PMU on foreign races subject to a common pool partnership amounts to</w:t>
      </w:r>
    </w:p>
    <w:p>
      <w:r>
        <w:rPr>
          <w:b/>
        </w:rPr>
        <w:t>[Pages 16–18]</w:t>
      </w:r>
    </w:p>
    <w:p>
      <w:r>
        <w:t>[20-25] million euros in 2017 and not 1.042 billion euros as claimed by the seizing parties.</w:t>
      </w:r>
    </w:p>
    <w:p>
      <w:r>
        <w:t>69. In its opinion, ARJEL confirmed that the seizing parties had made an error in assessing the amount of the stakes concerned by the contested practice: "the figure cited [by the seizing parties] as corresponding to the stakes collected on foreign races actually pertains to the amount of stakes collected within the framework of PMU's international activity, which includes stakes collected abroad by the operator, that is to say, the bets recorded abroad mainly on French races."</w:t>
      </w:r>
    </w:p>
    <w:p>
      <w:r>
        <w:t>70. It also appears from this data that foreign races in common pool represent a small share of the stakes collected by the PMU across all races: less than 1% in 2018 of the stakes collected in physical form as well as those collected online.</w:t>
      </w:r>
    </w:p>
    <w:p>
      <w:r>
        <w:t>71. Even though the stakes collected by the PMU on foreign races in common pool have experienced significant growth over the past two years, these figures do not confirm the statements of the seizing parties that "the stakes placed on these races have seen a spectacular increase of 102% compared to the previous year" or that "this segment represents the strongest growth and profitability driver for the PMU in the coming years."</w:t>
      </w:r>
    </w:p>
    <w:p>
      <w:r>
        <w:t>72. On the contrary, it appears that the evolution of stakes collected on foreign races in common pool has been quite mixed since 2012: after a period of decline until 2014, the amount of stakes collected increased again (except in 2016 for online betting, due to the interruption of the simple betting offer on pmu.fr related to the adaptation of this bet in the context of the implementation of the separation of pools). However, in 2018, the total amount had not returned to the level reached in 2012.</w:t>
      </w:r>
    </w:p>
    <w:p>
      <w:r>
        <w:t>73. Finally, the above figures show that common pool partnerships on certain foreign races existed prior to the commitment decisions of 2014. The entry into force of the commitments on December 31, 2015, only temporarily disrupted the marketing of certain common pool bets on the pmu.fr site (interruption of the Simple bet in 2016), with the stakes collected having increased again starting in 2017. The PMU has therefore never interrupted the pooling of its stakes with those of its foreign partners after the entry into force of the commitments, which it fully acknowledges.</w:t>
      </w:r>
    </w:p>
    <w:p>
      <w:r>
        <w:t>3. WEIGHT OF STAKES COLLECTED BY THE PMU ONLINE AND IN PHYSICAL FORM WITHIN THE FRAMEWORK OF COMMON POOL PARTNERSHIPS ON FOREIGN RACES</w:t>
      </w:r>
    </w:p>
    <w:p>
      <w:r>
        <w:t>74. The seizing parties consider that "the interest of pooling on these races for the PMU lies not so much in the pool of foreign operators or organizing countries as in the fact of bringing to its own online pool (which is relatively small) that of the stakes collected in physical form, which is nearly 10 times greater."</w:t>
      </w:r>
    </w:p>
    <w:p>
      <w:r>
        <w:t>75. Firstly, it appears from the data provided by the PMU (see paragraph 67) that, over the period 2014-2018, the stakes collected in physical form on foreign races in common pool by the PMU are nearly 10 times greater than the stakes collected online by this operator, which tends to confirm the potentially positive effect of these agreements on the attractiveness of PMU's online betting, through pooling with the PMU's physical stakes.</w:t>
      </w:r>
    </w:p>
    <w:p>
      <w:r>
        <w:t>76. Secondly, according to the data provided by the PMU on 2 of the 3 common pool partnerships (Ireland and South Africa):</w:t>
        <w:br/>
        <w:t>- the stakes collected by the PMU "in physical form" represent a significant and often majority share of the total stakes collected by the foreign partner in common pool over the duration of the partnership: between 30% and 65% of the common pool of Tote Ireland (averaging [50-60]% over the duration of the partnership) and between 40% and 65% of the common pool of Phumelela (averaging [50-60]% over the duration of the partnership);</w:t>
        <w:br/>
        <w:t>- the stakes collected by the PMU online are much more limited: between 0% and 15% of the common pool for Tote Ireland and for Phumelela.</w:t>
      </w:r>
    </w:p>
    <w:p>
      <w:r>
        <w:t>77. It follows from these elements that, taking into account all the stakes pooled by PMU's foreign partners, the stakes collected by the PMU in physical form are indeed decisive for the attractiveness of the bets offered in common pool, both for the foreign partner and for the PMU online, which, in fact, mainly benefits from the pooling with the PMU's physical stakes.</w:t>
      </w:r>
    </w:p>
    <w:p>
      <w:r>
        <w:t>4. MONITORING OF THE IMPLEMENTATION OF THE COMMITMENT TO SEPARATE THE POOLS</w:t>
      </w:r>
    </w:p>
    <w:p>
      <w:r>
        <w:t>78. In accordance with Article 3.1 of the commitments, the PMU proposed to the Authority an "independent representative in charge of monitoring the implementation of its commitment to separate its physical and online betting pools."</w:t>
      </w:r>
    </w:p>
    <w:p>
      <w:r>
        <w:t>79. The firm KPMG was approved by the Authority as an independent representative by letter dated April 8, 2014.</w:t>
      </w:r>
    </w:p>
    <w:p>
      <w:r>
        <w:t>80. The mission of the representative is defined by the mandate contract signed on April 28, 2014, and generally consists of "ensuring the monitoring and control of the implementation of the Separation of Pools commitment." According to Article 2.1, "The representative shall, on behalf of the Authority, ensure compliance with the Separation of Pools Commitment and carry out, in accordance with the work plan approved by the Authority, the tasks assigned to him by this Mandate." The tasks assigned to the representative are specified in point 2.4 of the mandate contract and are defined as follows:</w:t>
        <w:br/>
        <w:t>- "To be provided by the Mandator with the methodologies for implementing IT projects […]</w:t>
        <w:br/>
        <w:t>- To be provided with elements describing the various stages of the project named EASY concerning the migration of the Mandator's central IT system […]</w:t>
        <w:br/>
        <w:t>- To be provided with elements describing the various stages of the implementation of the project for the separation of betting pools […]</w:t>
        <w:br/>
        <w:t>- In cooperation with the Mandator, to determine all necessary measures to ensure compliance with the aforementioned deadlines</w:t>
        <w:br/>
        <w:t>- In the event of indication by the Mandator of a difficulty in implementing any of its IT projects, to be provided with any element allowing to explain and justify the existence of this difficulty."</w:t>
      </w:r>
    </w:p>
    <w:p>
      <w:r>
        <w:t>81. Furthermore, a detailed work plan was presented by the representative in its first quarterly report dated April 28, 2014.</w:t>
      </w:r>
    </w:p>
    <w:p>
      <w:r>
        <w:t>82. The representative produced a total of eight quarterly reports, the last dated January 31, 2016, concluding that "the effective separation of the pools has been in place since December 10, 2015" and that "the PMU has complied with its commitment to separate the pools before December 31, 2015." None of the representative's reports mentions the specific case of foreign races in common pool.</w:t>
      </w:r>
    </w:p>
    <w:p>
      <w:r>
        <w:t>83. By letter dated March 14, 2016, the Authority stated: "Upon examination of KPMG's final report, representative, dated January 31, 2016, it appears that this separation occurred on December 10, 2015."</w:t>
      </w:r>
    </w:p>
    <w:p>
      <w:r>
        <w:t>F. THE OPINION OF ARJEL</w:t>
      </w:r>
    </w:p>
    <w:p>
      <w:r>
        <w:t>84. In its opinion no. 2018-A 001 of November 8, 2018, ARJEL expressed its interpretation of the commitment made by the PMU. It indicated that while it was "not competent to interpret on behalf of the Competition Authority a decision rendered by it," it nevertheless considered that "the commitment made by the PMU to separate its betting pools covered all races on which bettors could place bets, whether they are French or foreign, whether they are subject to pooling with foreign operators or not."</w:t>
      </w:r>
    </w:p>
    <w:p>
      <w:r>
        <w:t>85. ARJEL specified that "the advantages for the PMU of pooling its online and 'physical' betting pools, as well as the competition concerns that arise from it, are potentially present regardless of the location of the races supporting the concerned bets. The competitive advantages described by the Competition Authority in its decision result solely from the larger volume of the betting pool created by the</w:t>
      </w:r>
    </w:p>
    <w:p>
      <w:r>
        <w:rPr>
          <w:b/>
        </w:rPr>
        <w:t>[Pages 19–21]</w:t>
      </w:r>
    </w:p>
    <w:p>
      <w:r>
        <w:t>the pooling of bets collected online and "in person." The pooling of these bets, whether they concern foreign races or French races, has similar effects. It allows the PMU in both cases to ensure greater stability of its odds and to diversify its betting offerings.</w:t>
      </w:r>
    </w:p>
    <w:p>
      <w:r>
        <w:t>86. ARJEL indicated that "The fact that the pools collected online and 'in person' are pooled by a foreign operator seems to be considered indifferent here. It does not matter who combines the two pools of this operator: only their merger counts, since it is this that feeds the competition concerns that need to be dispelled."</w:t>
      </w:r>
    </w:p>
    <w:p>
      <w:r>
        <w:t>87. ARJEL also proposed an estimate of the effects of the pooling of PMU's betting pools on foreign races in common pool, based on a sample consisting of four semi-annual meetings each covering two weeks of horse racing meetings from February 2017 to September 2018, including a number of pooled races, in order to compare the respective market shares of PMU and Zeturf. On this basis, ARJEL found that "the respective market shares of PMU and Zeturf are identical on foreign meetings that include pooled races and on those that do not."</w:t>
      </w:r>
    </w:p>
    <w:p>
      <w:r>
        <w:t>88. ARJEL concludes that "on the one hand, from ARJEL's perspective, PMU was prohibited from pooling its online and 'in person' betting pools by any means whatsoever, both concerning foreign and French races" and "on the other hand, the impact on the market of the criticized practice is difficult to measure, but seems to be limited."</w:t>
      </w:r>
    </w:p>
    <w:p>
      <w:r>
        <w:t>G. CONCLUSION OF THE REPORT</w:t>
        <w:br/>
        <w:t>89. According to the report of July 11, 2019, the investigation services consider that "the PMU's non-compliance with the commitments related to the pooling of online and in-person betting pools constitutes a violation of Article L. 464-2 of the Commercial Code and may lead to a sanction under Article L. 464-3 of the same code. In this case, the investigation services accuse PMU of having pooled its online and in-person betting pools on foreign races subject to a common pool agreement with a foreign operator from December 31, 2015, until the date of the report, which constitutes a failure to comply with the commitment to separate the betting pools made mandatory by decision no. 14-D-04. This non-compliance is reflected in a de facto pooling of the betting pools collected by PMU in person and online concerning foreign races, through PMU's foreign partners.</w:t>
      </w:r>
    </w:p>
    <w:p>
      <w:r>
        <w:t>This practice currently involves 5 partnerships, with 2 new partnerships having been recently concluded in 2018. This practice is serious, particularly given its duration since it has been ongoing since the effective date of the commitments on December 31, 2015, and continues to this day. The investigation services also note that PMU was fully aware of the effect of the partnerships in question on the bets it offers online. However, it never sought the Authority's opinion on their compliance with the commitments made mandatory by decision no. 14-D-04. On the contrary, it chose to modify the partnerships in a purely formal manner by establishing separate contracts for in-person collection and online collection of bets, which has no effect on the reality of the pooling of the betting pools.</w:t>
      </w:r>
    </w:p>
    <w:p>
      <w:r>
        <w:t>While this practice does not currently seem to have a particularly significant effect on the attractiveness of PMU's online offering, such an effect cannot be ruled out if such partnerships were established on a larger scale by PMU. Finally, the investigation services share ARJEL's view that if such behavior were validated, there would be a real risk of broader circumvention of the commitments, by entrusting a foreign operator with the responsibility of pooling all or part of the pools collected by PMU across its various betting channels.</w:t>
      </w:r>
    </w:p>
    <w:p>
      <w:r>
        <w:t>II. Discussion</w:t>
        <w:br/>
        <w:t>90. The compliance with the commitments undertaken by PMU will be examined successively (A), the attribution of the practices (B), and the sanction (C).</w:t>
      </w:r>
    </w:p>
    <w:p>
      <w:r>
        <w:t>A. ASSESSMENT OF THE NON-COMPLIANCE WITH THE COMMITMENT TO SEPARATE PMU'S BETTING POOLS</w:t>
        <w:br/>
        <w:t>91. The commitment to separate the in-person and online betting pools states that "PMU commits to effectively separate its unique betting pool between the bets collected on its site pmu.fr and those collected on its other horse betting channels, by September 30, 2015."</w:t>
      </w:r>
    </w:p>
    <w:p>
      <w:r>
        <w:t>92. PMU does not contest that its common pool partnerships with foreign operators allow players on pmu.fr to benefit from the betting pools collected in person by PMU. This is notably manifested by the fact that the betting odds are identical across PMU's various betting channels.</w:t>
      </w:r>
    </w:p>
    <w:p>
      <w:r>
        <w:t>93. On the other hand, PMU contests the fact that the commitment it undertook concerns foreign races in common pool, as these were not explicitly mentioned in the commitment nor analyzed in decision no. 14-D-04 (1). PMU further considers that the representative in charge of monitoring the commitment had validated the exclusion of these races, which would not allow the Authority to find a breach in the context of the present procedure (2). Finally, PMU argues that it would not, in any event, have the ability to effectively separate its betting pools within the framework of its partnerships on foreign races in common pool (3).</w:t>
      </w:r>
    </w:p>
    <w:p>
      <w:r>
        <w:t>1. ON THE SCOPE OF THE COMMITMENT</w:t>
        <w:br/>
        <w:t>a) On the applicable principles</w:t>
        <w:br/>
        <w:t>94. According to the decision-making practice of the Authority, "commitments, like injunctions, are subject to strict interpretation" (decisions no. 15-D-02 of February 26, 2015, regarding compliance by the GIE "Les Indépendants" with the commitments made in the decision of the Competition Council no. 06-D-29 of October 6, 2006, paragraph 99, and no. 10-D-21 of June 30, 2010, regarding compliance by the companies Neopost France and Satas with the commitments made in the decision of the Competition Council no. 05-D-49 of July 25, 2005, paragraph 69).</w:t>
      </w:r>
    </w:p>
    <w:p>
      <w:r>
        <w:t>95. PMU argued that the strict interpretation of commitments should benefit the party that undertook them. PMU also considers that compliance with a commitment is assessed equally based on formal compliance with the commitment and based on the respect of the objectives it pursues.</w:t>
      </w:r>
    </w:p>
    <w:p>
      <w:r>
        <w:t>96. Contrary to what the accused claims, the examination of compliance with commitments is initially and primarily focused on formal compliance with the commitments, the verification of which is distinct from a re-examination of the commitments in light of market developments. The strict interpretation of commitments relies on a rigorous analysis of the terms used in the wording of the commitment.</w:t>
      </w:r>
    </w:p>
    <w:p>
      <w:r>
        <w:t>97. However, the effect of the breach on competition that the commitments aimed to preserve will, if applicable, be taken into consideration if the parties have adopted circumvention behavior, which limits the scope of the commitments and produces the anti-competitive effects that these commitments were intended to prevent. The effect of the breach on competition may also be used to assess the severity of the non-compliance.</w:t>
      </w:r>
    </w:p>
    <w:p>
      <w:r>
        <w:t>98. It is only when the Authority is called upon to examine whether the company has taken measures that could constitute a circumvention of its commitments that limit their scope that it is necessary to examine them in light of the purpose of the commitments, as clearly indicated by the Court of Cassation: "(...) the characterization of a breach of commitments leads to verifying their formal compliance and then, if applicable, the absence of breach in light of the competition concerns that gave rise to the commitments." The Paris Court of Appeal held, regarding compliance with injunctions ordering the removal of clauses from a standard contract, that "it is without exceeding its powers that the Council (...) verified whether the removed clauses had not been replaced by other stipulations which, although formulated differently, would have produced the prohibited legal consequences" (judgment of February 21, 2006, SEMUP e.a., no. 2005/14774, p. 6).</w:t>
      </w:r>
    </w:p>
    <w:p>
      <w:r>
        <w:rPr>
          <w:b/>
        </w:rPr>
        <w:t>[Pages 22–24]</w:t>
      </w:r>
    </w:p>
    <w:p>
      <w:r>
        <w:t>99. Finally, according to the decision-making practice of the Authority, the control of the execution of the decision must focus on the respect of the commitments made individually, each of which has binding value. The fact that some commitments have been partially respected cannot prevent a finding of non-compliance (decisions of the Competition Authority no. 15-D-02 of February 26, 2015, and no. 18-D-09 of June 21, 2018).</w:t>
      </w:r>
    </w:p>
    <w:p>
      <w:r>
        <w:t>b) Assessment in this case</w:t>
        <w:br/>
        <w:t>100. The PMU considers that the stakes collected within the framework of common pool partnerships on foreign races do not fall within the scope of the commitment because "its" pool of stakes, specifically referred to in the commitments, would consist only "of the sole pool of stakes that it collects, manages, and operates itself." Furthermore, the commitment would be of a "structural and technical nature," as would emerge from the reading of decision no. 14-D-04 and the expert reports prepared during the commitment procedure. Generally, the PMU notes that the case of foreign races in common pool was never mentioned at the time of taking this commitment, neither during the investigation nor in decision no. 14-D-04.</w:t>
      </w:r>
    </w:p>
    <w:p>
      <w:r>
        <w:t>101. Nevertheless, the commitment, which should be recalled was drafted by the PMU, best placed to assess its scope, aims at the "effective separation of its unique pool of stakes between the bets collected on its site pmu.fr and those collected on its other betting channels." This wording is unambiguous: it consists of a general commitment to separate the pools collected online and the pools collected physically by the PMU in the context of bets on races listed in the calendar of races supporting bets, approved by decree by the Minister of Agriculture and Food, these races being able to take place in France or abroad as explained in paragraph 13. Thus, even if the commitment does not explicitly target foreign races in common pool, just as it does not target the different categories of French races, it cannot be understood otherwise than as applying to all bets collected by the PMU constituting its pool of stakes.</w:t>
      </w:r>
    </w:p>
    <w:p>
      <w:r>
        <w:t>102. Therefore, in the absence of enumeration of the different categories of races concerned by the commitments, it should be considered that all races are targeted. Nothing supports the assertion that only the stakes for which the PMU is not only the collector but also the totalizer and distributor would be covered by the commitments, especially since the only term explicitly used by the commitments is precisely that of "collected bets."</w:t>
      </w:r>
    </w:p>
    <w:p>
      <w:r>
        <w:t>103. The commitment also does not establish a distinction between the stakes collected on bets whose rules are defined by the PMU and the stakes collected on bets whose rules are set by a third-party operator. The stakes collected on foreign races in common pool cannot therefore be excluded from the scope of the commitment for this reason.</w:t>
      </w:r>
    </w:p>
    <w:p>
      <w:r>
        <w:t>104. Furthermore, no characteristic of the bets on foreign races in common pool leads to the conclusion that the stakes thus collected would not constitute the PMU's own pool of stakes.</w:t>
      </w:r>
    </w:p>
    <w:p>
      <w:r>
        <w:t>105. Indeed, the PMU is able to offer bets on foreign races in common pool, just as on the other races it offers, by virtue of its status as a betting operator in France defined in Article L. 320-5 of the Internal Security Code and in Article 10 of Law no. 2010-476 of May 12, 2010, concerning online games: "A person is an online gaming or betting operator if, on a regular basis, they offer the public online gaming or betting services involving stakes of monetary value and whose terms are defined by a regulation constituting a contract of adhesion to the game subject to the acceptance of the players."</w:t>
      </w:r>
    </w:p>
    <w:p>
      <w:r>
        <w:t>106. The PMU, in its capacity as a betting operator, is indeed the one who offers gamblers the gambling service in France, which allows it to take bets and distribute winnings on all bets it offers through its various betting channels.</w:t>
      </w:r>
    </w:p>
    <w:p>
      <w:r>
        <w:t>107. The same applies to foreign races in common pool: it is the PMU, as a betting operator in France, that collects the stakes and distributes the winnings and enters into a contract with the bettors on this occasion. The totalizer of the pools, for its part, cannot in any way be considered a betting operator in France since it is not licensed in France to offer gaming services. If the stakes collected by the PMU on such races were to be considered as constituting the pool of stakes of a foreign operator, then the PMU would find itself in a situation of collecting and distributing winnings on behalf of an operator not licensed in France, which would constitute an illegal activity.</w:t>
      </w:r>
    </w:p>
    <w:p>
      <w:r>
        <w:t>108. Common pool agreements are ultimately just partnerships through which different betting operators agree to contribute their respective pools of stakes and to pool them with the stakes collected by the other partners to benefit from a larger total pool, which is likely to enhance the attractiveness of the bets they offer.</w:t>
      </w:r>
    </w:p>
    <w:p>
      <w:r>
        <w:t>109. These various elements are sufficient to establish that the stakes collected by the PMU on foreign races in common pool cannot be considered otherwise than as part of the PMU's own pool of stakes.</w:t>
      </w:r>
    </w:p>
    <w:p>
      <w:r>
        <w:t>110. Given the general wording of the commitment, which does not specify in any way the terms of implementation of the separation of the PMU's pools, it cannot be argued that the commitment proposed by the PMU was purely technical in nature and only concerned modifications to the PMU's central information system, even if the technical implications of the commitment were examined with great attention by the Authority during the commitment procedure, to assess the appropriateness of the commitment to separate the pools and its duration of implementation.</w:t>
      </w:r>
    </w:p>
    <w:p>
      <w:r>
        <w:t>111. Finally, it can be noted that the commitment made mandatory by decision no. 14-D-04 was proposed by the PMU, without it claiming at that time any specificity of foreign races in common pool that could have justified explicitly excluding them from the scope of the commitment. Subsequently, the PMU has never sought the Authority regarding the interpretation of the scope of this commitment, even though ARJEL questioned it as early as September 25, 2017, regarding the compatibility of such agreements with decision no. 14-D-04.</w:t>
      </w:r>
    </w:p>
    <w:p>
      <w:r>
        <w:t>112. On the contrary, the PMU, while asserting that foreign races in common pool were not concerned by the commitment, nevertheless considered that these partnerships should be subject to contractual adjustment following decision no. 14-D-04, by distinguishing contracts for physical collection from contracts for online collection, it being understood that such modifications did not challenge the reunification of the two PMU betting pools on these races.</w:t>
      </w:r>
    </w:p>
    <w:p>
      <w:r>
        <w:t>113. It follows from the preceding elements that the letter of the commitment does not distinguish according to the type of races. Thus, the Authority considers that the commitment to separate the pools of stakes collected in France by the PMU applies to foreign races in common pool just as it does to all other races.</w:t>
      </w:r>
    </w:p>
    <w:p>
      <w:r>
        <w:t>114. This interpretation is fully shared by ARJEL, which considers that "the commitment made by the PMU to separate its pools of stakes covered all races on which bettors could place bets, whether they are French or foreign, whether they are subject to pooling with foreign operators or not."</w:t>
      </w:r>
    </w:p>
    <w:p>
      <w:r>
        <w:t>2. ON THE ROLE OF THE MANDATORY</w:t>
        <w:br/>
        <w:t>115. The PMU argued that the maintenance of the pooling of its pools on foreign races in common pool could not be reproached to it because this arrangement would have been validated by the mandatory responsible for monitoring the commitment from the beginning of its implementation, which the Authority could not ignore.</w:t>
      </w:r>
    </w:p>
    <w:p>
      <w:r>
        <w:t>116. Nevertheless, a mandatory responsible for monitoring commitments cannot in any case substitute itself for the Authority to assess their scope, nor bind the Authority in its assessment of a non-compliance with the commitments made before it. Thus, as the Authority has already indicated several times in matters of concentrations, "if the reports prepared by the mandatory are, alongside the various elements of the file, of a nature to usefully inform the analysis carried out by the Authority, the latter is not bound by the assessments made by the mandatory in the context of its mission to monitor the commitments."</w:t>
      </w:r>
    </w:p>
    <w:p>
      <w:r>
        <w:t>117. In this case, first of all, it appears from the file that the Authority received, neither during the implementation of the commitment nor subsequently, any information concerning the case of foreign races in common pool, from the mandatory or from the PMU itself.</w:t>
      </w:r>
    </w:p>
    <w:p>
      <w:r>
        <w:t>118. Indeed, none of the quarterly reports sent by the mandatory to the Competition Authority addresses the specific case of foreign races in common pool. The same applies to its final report concluding on the realization of the project concerning the modification of the PMU's central computer system allowing for the effective separation.</w:t>
      </w:r>
    </w:p>
    <w:p>
      <w:r>
        <w:rPr>
          <w:b/>
        </w:rPr>
        <w:t>[Pages 25–27]</w:t>
      </w:r>
    </w:p>
    <w:p>
      <w:r>
        <w:t>the betting pools that the PMU collects, totals, and distributes itself (namely French races and foreign races in separate pools).</w:t>
      </w:r>
    </w:p>
    <w:p>
      <w:r>
        <w:t>119. Furthermore, and contrary to what the PMU suggests in its observations on the Report when it states that "the agent was fully informed of the existence of these partnerships and their operation, as evidenced by the various reports submitted to the Authority," the Authority has never had in its possession the internal documents of the PMU (project steering committee of the SDM project dated July 11, 2014 and needs expression document dated August 29, 2014) indicating the exclusion of foreign races in common pool from the project for separating the pools. These documents were only submitted to the file by the PMU in response to the Report sent by the investigation services. While it appears from the file that the agent did indeed consult them, it merely referenced them in its second quarterly report without the Authority having received their content.</w:t>
      </w:r>
    </w:p>
    <w:p>
      <w:r>
        <w:t>120. Similarly, the Authority has never had in its possession the bailiff's reports conducted in December 2015, before and after the separation of the betting pools, which could have, according to the PMU, allowed it to ascertain the absence of separation of the pools on foreign races in common pool from the entry into force of the commitments. These documents were only consulted by the agent who summarized them in its final report. However, the agent's observations do not reveal any element that would have allowed the Authority's services to ascertain the persistent pooling of the pools on certain foreign races. In any case, the bailiff's reports, provided by the PMU in response to the Report, do not allow for the ascertainment of the pooling of the pools on foreign races. At most, they allow for the observation that bets are offered by the PMU on foreign races both offline and online, without it being possible to determine what types of bets (in separate pools or in common pool) are offered in this case, nor what the odds or the betting pool attached to these bets are.</w:t>
      </w:r>
    </w:p>
    <w:p>
      <w:r>
        <w:t>121. Thus, while the Authority acknowledged in its letter of March 14, 2016, the PMU's fulfillment of the commitment to separate the pools, it was solely based on the elements that had been communicated to it by the agent at that time, which contained no information regarding foreign races in common pool. As a result, the Authority is perfectly justified in revisiting such a finding in light of the new elements that have come to its attention since the referral of the companies Betclic and Zeturf.</w:t>
      </w:r>
    </w:p>
    <w:p>
      <w:r>
        <w:t>122. Secondly, the PMU cannot escape its responsibility by hiding behind the alleged opinions expressed by the agent regarding the scope of the commitment.</w:t>
      </w:r>
    </w:p>
    <w:p>
      <w:r>
        <w:t>123. In this case, the firm proposed by the PMU and approved by the Authority to monitor the commitment to separate the pools had the technical expertise necessary to follow the progress of the IT projects carried out by the PMU. It also follows from the contract of mandate that the missions entrusted to it were essentially technical in nature. Thus, the PMU could not ignore that the agent did not have the power to interpret the commitment nor the legal expertise necessary to do so. Overall, the agent fulfilled the mission that had been entrusted to it to monitor the IT projects. On the other hand, the PMU could not ask it to validate the compatibility of the common pool partnerships with the commitments, which went beyond its mission and its expertise.</w:t>
      </w:r>
    </w:p>
    <w:p>
      <w:r>
        <w:t>124. Furthermore, the PMU argued that the agent was fully informed of the existence of the partnerships and their operation and that the PMU would have "received an unambiguous position from it." In support of its position, the PMU produced a letter from the agent dated September 19, 2019, in which the agent confirms that "the question of including in the scope of the separation of the pools work the betting pools collected by the PMU on certain foreign races and distributed by foreign partners arose from the very beginning of the mission." However, in its letter, which was sent after the report from the investigation services in the present procedure, the agent simply reiterates the analysis of the scope of the commitment as presented by the PMU in the project steering committee meeting titled "SDM" (separation of the pools) on July 11, 2014, and in the needs expression document prepared by the PMU on August 29, 2014.</w:t>
      </w:r>
    </w:p>
    <w:p>
      <w:r>
        <w:t>125. Thus, contrary to the PMU's allegations, indicating that it "explicitly examined this issue with the agent from the beginning of its mission" and that it "received an unambiguous position from it," there is no element in the file indicating that the agent was consulted by the PMU on the issue of foreign races in common pool. On the contrary, the elements communicated by the PMU show that the agent was simply placed in a position to observe the choices made by the PMU, which consisted of excluding foreign races in common pool from the project for separating the pools. No element also indicates that at the time the agent actually analyzed the compatibility of the partnerships with the commitments, the letter from September 2019 only presenting a retrospective analysis of the solution adopted by the PMU.</w:t>
      </w:r>
    </w:p>
    <w:p>
      <w:r>
        <w:t>126. Ultimately, the Authority considers that the PMU, from the very beginning of the implementation of the separation of the pools, excluded, on its own initiative, foreign races in common pool from the scope of the commitment and is now attempting to shift its responsibility onto the agent and, ultimately, onto the Authority. However, the PMU cannot in fact claim an alleged validation by the agent of the exclusion of foreign races in common pool to justify its behavior. Regarding a question concerning the scope of the commitment, the PMU could not ignore that it was not the agent's role to validate such a decision. It was therefore the responsibility of the PMU to inform the Authority, even if the agent had validated such an interpretation.</w:t>
      </w:r>
    </w:p>
    <w:p>
      <w:r>
        <w:t>3. ON THE POSSIBILITY FOR THE PMU TO SEPARATE ITS POOLS</w:t>
      </w:r>
    </w:p>
    <w:p>
      <w:r>
        <w:t>127. The PMU argues that it would have no choice but to see its two betting pools combined within the same pool as part of the common pool partnerships, as the totalization is carried out by a foreign operator, which is itself not subject to the commitment to separate the pools. In support of its position, the PMU produced letters from several foreign operators in response to the PMU's questions, which the PMU summarizes as follows: "Finally, these foreign operators applying the same rules and calculating the same odds with respect to all their international partners, it was simply not possible for them to split the pool made up of the bets of all their partners worldwide and to distinguish their odds calculation for the PMU alone based on whether they come from bets collected offline or online."</w:t>
      </w:r>
    </w:p>
    <w:p>
      <w:r>
        <w:t>128. The Authority does not contest that a separation of the PMU's pools within the common pool managed by the foreign operator is impossible as long as the PMU simultaneously has a contract for offline collection and a contract for online collection on the same foreign races in common pool (or a single contract providing for both types of collection).</w:t>
      </w:r>
    </w:p>
    <w:p>
      <w:r>
        <w:t>129. On the other hand, as ARJEL points out in its opinion, "It is up to the PMU, if it intends to proceed with pooling with a foreign operator, to pool either the bets collected online or the bets collected 'offline'." Thus, the PMU was and remains perfectly free to renounce one or the other of its contracts (offline or online) to comply with the commitment to separate the pools regarding foreign races in common pool. Indeed, the PMU can choose to market bets on foreign races in common pool only on pmu.fr: in this case, it will be in a situation equivalent to that of alternative operators. Otherwise, the PMU can choose to prioritize the marketing of such bets in its physical network under monopoly.</w:t>
      </w:r>
    </w:p>
    <w:p>
      <w:r>
        <w:t>130. Furthermore, the PMU can continue to market bets on foreign races in separate pools with foreign operators, as it is already doing, by continuing to separate its offline pool and its online pool.</w:t>
      </w:r>
    </w:p>
    <w:p>
      <w:r>
        <w:t>131. In accordance with the terminology defined in paragraphs 42 and 43, the following table summarizes the different possible configurations, taking into account the organization of the collection of bets established by the PMU since the entry into force of the commitment, regarding foreign races, according to the channels chosen by the PMU to offer the bets and according to the type of agreement concluded with the foreign operator.</w:t>
      </w:r>
    </w:p>
    <w:p>
      <w:r>
        <w:rPr>
          <w:b/>
        </w:rPr>
        <w:t>[Pages 28–30]</w:t>
      </w:r>
    </w:p>
    <w:p>
      <w:r>
        <w:t>Type of agreement with the foreign operator</w:t>
        <w:br/>
        <w:t>Bets offered "common pool" "separate pool"</w:t>
        <w:br/>
        <w:t>pools collected by the for physical bets:</w:t>
        <w:br/>
        <w:t>PMU online and in pools collected by the</w:t>
        <w:br/>
        <w:t>physical + PMU in physical</w:t>
        <w:br/>
        <w:t>online and in</w:t>
        <w:br/>
        <w:t>the foreign operator, for online bets:</w:t>
        <w:br/>
        <w:t>physical</w:t>
        <w:br/>
        <w:t>whether there is a single pools collected by the</w:t>
        <w:br/>
        <w:t>contract or two PMU online</w:t>
        <w:br/>
        <w:t>PMU pools</w:t>
        <w:br/>
        <w:t>separate contracts (case 1) (case 2)</w:t>
        <w:br/>
        <w:t>pools collected by the</w:t>
        <w:br/>
        <w:t>pools collected by the</w:t>
        <w:br/>
        <w:t>only in PMU online +</w:t>
        <w:br/>
        <w:t>PMU online (case 4)</w:t>
        <w:br/>
        <w:t>line pools of the foreign</w:t>
        <w:br/>
        <w:t>operator (case 3)</w:t>
        <w:br/>
        <w:t>pools collected by the</w:t>
        <w:br/>
        <w:t>pools collected by the</w:t>
        <w:br/>
        <w:t>only in PMU physical + pools</w:t>
        <w:br/>
        <w:t>PMU in physical</w:t>
        <w:br/>
        <w:t>physical of the foreign operator</w:t>
        <w:br/>
        <w:t>(case 6)</w:t>
        <w:br/>
        <w:t>(case 5)</w:t>
        <w:br/>
        <w:t>132. Thus, only case 1 (bets offered online and in physical by the PMU within the framework of a common pool partnership) leads to the pooling of the PMU's online and physical betting pools. All other cases allow the PMU to comply with its commitments, given the organization of the collection of pools since the entry into force of the commitment to separate the pools and the operation of the various partnerships on foreign races concluded by the PMU.</w:t>
        <w:br/>
        <w:t>4. ON THE DURATION OF PRACTICES</w:t>
        <w:br/>
        <w:t>133. It follows from the file (see in particular paragraph 73) that the practice of pooling the pools on foreign races existed before decision no. 14-D-04 and has persisted after the effective separation of the pools on December 31, 2015.</w:t>
        <w:br/>
        <w:t>134. Thus, the PMU has violated its commitment to separate the pools since December 31, 2015, and until the date of the report. This practice continues to this date of the decision.</w:t>
      </w:r>
    </w:p>
    <w:p>
      <w:r>
        <w:t>5. CONCLUSION</w:t>
        <w:br/>
        <w:t>135. Considering all the elements presented above, the Authority considers that the pools collected by the PMU on foreign races subject to a common pool partnership constitute the PMU's own betting pool and are therefore directly covered by the commitment to separate the betting pools.</w:t>
        <w:br/>
        <w:t>136. By entering into common pool partnerships with foreign operators concerning both its pools collected in physical form and its pools collected online, the PMU has pooled its online and physical collected pools, which constitutes a breach of its commitment to separate the pools as of December 31, 2015. This breach continues to this date of the present decision.</w:t>
        <w:br/>
        <w:t>B. ON THE ATTRIBUTION OF LIABILITY</w:t>
        <w:br/>
        <w:t>137. The commitments made mandatory by the Competition Authority in decision no. 14-D-04 were made by the GIE Pari Mutuel Urbain. Compliance with these commitments therefore falls to the GIE PMU, registered in the Paris Trade and Companies Register under number 775 671 258.</w:t>
        <w:br/>
        <w:t>138. The practices related to the potential non-compliance with the commitments of 2014 are therefore attributable to the GIE PMU.</w:t>
        <w:br/>
        <w:t>C. ON THE SANCTION</w:t>
        <w:br/>
        <w:t>139. Article L. 464-3 of the Commercial Code states that "if the measures, injunctions or commitments provided for in Articles L. 464-1 and L. 464-2 are not respected, the Authority may impose a monetary sanction within the limits set out in Article L. 464-2."</w:t>
        <w:br/>
        <w:t>140. The Competition Authority recalled in its decision no. 15-D-02, concerning compliance by the GIE "Les Indépendants" with the commitments made in the decision of the Competition Council no. 06-D-29 of October 6, 2006, that "the provisions of this article refer only to the legal maximum of the monetary sanction provided for by Article L. 464-2 of the Commercial Code, without expressly referring to the criteria for determining sanctions provided for by the same article in the case of anti-competitive practices. Nevertheless, the requirement for individualization and the principle of proportionality of the sanction lead to taking into account the facts and context specific to this case in order to determine the sanction based on the severity of the behavior attributed to the GIE 'Les Indépendants', on the one hand, and the impact that this behavior may have had on the competition that the commitments aimed to preserve, on the other hand."</w:t>
        <w:br/>
        <w:t>141. Thus, as recommended by the Authority, the analysis will take into account the severity of the identified breaches and their impact on the competition that the commitments aimed to preserve.</w:t>
      </w:r>
    </w:p>
    <w:p>
      <w:r>
        <w:t>1. ON THE CEILING OF SANCTIONS</w:t>
        <w:br/>
        <w:t>142. I of Article L. 464-2 of the Commercial Code provides that the Authority "may impose a monetary sanction […] in the event […] of non-compliance with the commitments it has accepted. […] 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br/>
        <w:t>143. In this case, the status of the GIE PMU as a company or organization is first discussed (a) and, secondly, the relevant turnover to be taken into account (b).</w:t>
        <w:br/>
        <w:t>a) Ceiling applicable to the GIE PMU</w:t>
        <w:br/>
        <w:t>144. To determine the ceiling for monetary sanctions, the Commercial Code distinguishes between the situation of practices attributable to a company and that of practices attributable to a "non-company." It is therefore necessary to determine whether the GIE PMU should be considered a company.</w:t>
        <w:br/>
        <w:t>145. In this case, the offender is an economic interest grouping (GIE) defined by Article L. 251-1 of the Commercial Code, which states that "the purpose of the grouping is to facilitate or develop the economic activity of its members, to improve or increase the results of this activity. It is not to make profits for itself. Its activity must relate to the economic activity of its members and can only have an auxiliary character in relation to it."</w:t>
        <w:br/>
        <w:t>146. In this matter, the Authority has recently been led to consider in its decision no. 19-D-05 that the GIE Radio Antibes Juan-les-Pins, whose purpose is to establish and manage a taxi call center with a unique call number and to promote the activity of its members to the general public and tourism professionals, was not a company for the purpose of determining the ceiling for sanctions. Conversely, in its decision no. 15-D-02, the GIE "Les Indépendants," which "aims to aggregate the audiences of certain local radio operators in order to provide a grouped advertising space offer allowing them to access the national or regional advertising market," has been considered a company. The qualification of a company for the purpose of calculating the ceiling for sanctions in the case of a GIE therefore depends on the exact nature of the activity of said GIE.</w:t>
      </w:r>
    </w:p>
    <w:p>
      <w:r>
        <w:rPr>
          <w:b/>
        </w:rPr>
        <w:t>[Pages 31–33]</w:t>
      </w:r>
    </w:p>
    <w:p>
      <w:r>
        <w:t>147. In this case, the purpose of the GIE PMU is thus defined: "The Group's purpose, in France and abroad, is to implement, for the benefit of each of the member racing companies of the Group, a set of technical, administrative, legal, financial, and personnel means necessary for the permanent and continuous service of mutual betting outside of racetracks as well as on the racetracks of the parent companies for all or part of the meetings they organize. The group may also, under the conditions determined by the legislation and regulations applicable to online gambling activities, organize and operate in France and abroad a sports betting and/or online circle games activity."</w:t>
      </w:r>
    </w:p>
    <w:p>
      <w:r>
        <w:t>148. Thus, according to the statutes, the role of the GIE goes beyond facilitating the economic activity of its members as it extends to organizing betting outside of racetracks and in certain racetracks. Furthermore, the GIE develops its own economic activity of gambling, sports betting, and online circle games, independently of the activity of its members. Thus, the PMU, by marketing various bets (horse racing, sports, or circle games) in its physical network or on its website, is indeed a company that engages in economic activity and has autonomy in this regard compared to its members, even though it does not generate profits for itself. The situation of the PMU is in this sense similar to that of the GIE "Les Indépendants," active in the advertising space market. On the contrary, it significantly diverges from that of the GIE Radio Antibes Juan-les-Pins, which is an entity that is not directly active in a market and has as its sole activity the facilitation of the economic activity of its members.</w:t>
      </w:r>
    </w:p>
    <w:p>
      <w:r>
        <w:t>149. For all these reasons, the PMU must be considered a company for the purposes of calculating the sanction ceiling.</w:t>
      </w:r>
    </w:p>
    <w:p>
      <w:r>
        <w:t>b) On the sanction ceiling</w:t>
      </w:r>
    </w:p>
    <w:p>
      <w:r>
        <w:t>150. It follows from the file that the accounts of the PMU are not consolidated with the accounts of the parent companies that are members of the GIE. The PMU also does not prepare consolidated accounts that include its subsidiaries. The statutory accounts of the GIE PMU are therefore relevant for determining the revenue to be taken into account for establishing the sanction ceiling.</w:t>
      </w:r>
    </w:p>
    <w:p>
      <w:r>
        <w:t>151. However, it appears from the documents provided by the PMU that the income statement of the GIE PMU does not directly present a revenue figure but various balances, in particular:</w:t>
        <w:br/>
        <w:t>- the total stakes collected;</w:t>
        <w:br/>
        <w:t>- the gross revenue from bets, calculated as the difference between the stakes received and the winnings redistributed to bettors;</w:t>
        <w:br/>
        <w:t>- the net revenue from bets, which corresponds to the difference between the gross revenue from bets on the one hand, and public levies, the "VAT - institutional share," and commissions paid to foreign partners;</w:t>
        <w:br/>
        <w:t>- and finally the "gross balance on stakes," which corresponds to the net revenue from bets increased by "revenues related to stake-related activities."</w:t>
      </w:r>
    </w:p>
    <w:p>
      <w:r>
        <w:t>152. While the investigation services considered that the revenue generated by the PMU corresponded to the total stakes collected and "revenues related to stake-related activities," representing its normal and ongoing activity, the elements in the file show that the PMU has evolved the scope of its own revenue as the investigation progressed.</w:t>
      </w:r>
    </w:p>
    <w:p>
      <w:r>
        <w:t>153. Thus, on May 14, 2019, the PMU stated that "the revenue of a betting operator does not correspond to the amount of stakes placed by bettors, as it does not involve the amounts it has actually collected considering the distribution of winnings to bettors, but rather the Gross Gaming Revenue."</w:t>
      </w:r>
    </w:p>
    <w:p>
      <w:r>
        <w:t>154. Subsequently, the PMU specified on May 24, 2019, that it was also necessary "to subtract not only the VAT as for all other economic sectors, but also the other levies specific to this sector." The PMU then considered that the revenue to be retained for the purpose of calculating the sanction ceiling corresponded to the "gross balance of stakes" from the income statement of the PMU.</w:t>
      </w:r>
    </w:p>
    <w:p>
      <w:r>
        <w:t>155. On June 6, 2019, the PMU explained that the statutory accounts communicated presented an economic view of its activity, which led it to include "sources of income and levies that, for some, are paid to the member racing companies of the PMU, or weigh on them." Thus, "The economic presentation of the PMU's income statement as it appears from the accounts transmitted on May 24, therefore, aggregates revenues that are its own and revenues that belong to the racing companies." As a result, the PMU ultimately estimated that its own revenues were constituted of:</w:t>
        <w:br/>
        <w:t>- the billing to racing companies of the amount of its net management charges (for the collection of physical stakes for the accounts of its members);</w:t>
        <w:br/>
        <w:t>- commissions received from its export partnerships;</w:t>
        <w:br/>
        <w:t>- and its "net gaming revenue" from its own activity of collecting online stakes.</w:t>
      </w:r>
    </w:p>
    <w:p>
      <w:r>
        <w:t>156. Finally, in response to the report, the PMU produced an analysis note from the firm PWC confirming the definition of revenue presented by the PMU on June 6, 2019. However, this note presents an estimate of the PMU's revenue for the year 2018 alone, which does not align with the previous figures communicated by the PMU.</w:t>
      </w:r>
    </w:p>
    <w:p>
      <w:r>
        <w:t>157. Thus, the PMU provided during the investigation four different assessments of its revenue, each new estimate being lower than the previous one.</w:t>
      </w:r>
    </w:p>
    <w:p>
      <w:r>
        <w:t>158. In any case, by retaining the definition of revenue most favorable to the PMU presented on June 6, 2019, and based on the most complete data provided by the party concerned for the period 2014-2018, the maximum revenue for the period would be €647.2 million (revenue for 2016). The sanction ceiling would therefore be €64.72 million.</w:t>
      </w:r>
    </w:p>
    <w:p>
      <w:r>
        <w:t>159. The Competition Authority recalls, as it did in its decision no. 10-D-28, that the reference to revenue made by Article L. 464-2 of the Commercial Code serves only to define the maximum amount of the financial penalty incurred by companies. Subject to this legal ceiling, it is only indicated that the sanction must be proportionate to the seriousness of the alleged facts.</w:t>
      </w:r>
    </w:p>
    <w:p>
      <w:r>
        <w:t>2. ON THE SERIOUSNESS OF THE PRACTICES</w:t>
      </w:r>
    </w:p>
    <w:p>
      <w:r>
        <w:t>160. The Authority has considered in its decision-making practice that the non-compliance with commitments is "a serious practice in itself. Such a practice is all the more serious as the commitments are made at the initiative of the parties concerned who propose them." Similarly, the Paris Court of Appeal has held that the non-compliance with injunctions constitutes, "in itself (...) a practice of exceptional gravity."</w:t>
      </w:r>
    </w:p>
    <w:p>
      <w:r>
        <w:t>161. The seriousness of such a breach must, moreover, be assessed in light of the characteristics of the practices implemented and the specific concrete circumstances of each case. To this end, the Authority takes into account, in particular, the extent of the breach, its duration, and the knowledge of the illicit nature of the practices.</w:t>
      </w:r>
    </w:p>
    <w:p>
      <w:r>
        <w:t>162. Firstly, it should be noted that the commitment to separate the betting pools, proposed by the PMU and made mandatory by decision no. 14-D-04, is devoid of ambiguity, as shown in paragraphs 101 to 103. If, as the PMU argues, the competition concerns identified by the Authority were to exclude foreign races in common pool from their scope, it was open to the PMU to clarify this at the time of the negotiation procedure for commitments, which was not the case. The PMU has also not sought the Authority on this subject since the commitments came into effect.</w:t>
      </w:r>
    </w:p>
    <w:p>
      <w:r>
        <w:t>163. In response to the Report, the PMU argues the good faith with which it acted, particularly given that the representative was aware from the outset of the exclusion of foreign races in common pool from the project of separating the pools as conceived by the PMU. It also indicates that it did not consider it necessary to seek the Authority on this subject given the representative's agreement and that, finally, no warning had been given to it by the Authority since the commitments came into effect.</w:t>
      </w:r>
    </w:p>
    <w:p>
      <w:r>
        <w:rPr>
          <w:b/>
        </w:rPr>
        <w:t>[Pages 34–36]</w:t>
      </w:r>
    </w:p>
    <w:p>
      <w:r>
        <w:t>164. As has already been explained previously, the PMU cannot invoke the agreement that the representative may have expressed to absolve itself of any responsibility. If the representative did not evidently perceive that common pool foreign races could pose a problem in terms of compliance with the commitments, the same cannot be said for the PMU, which is fully aware of the operation of these agreements and their implications and which drafted the wording of the commitments.</w:t>
      </w:r>
    </w:p>
    <w:p>
      <w:r>
        <w:t>165. On the contrary, it follows from the file that the PMU was fully aware that the common pool partnerships on foreign races allowed it to offer bets on these races under the same attractive conditions, on its website and in its physical points of sale. However, the PMU never sought the Authority's opinion to ensure the compatibility of these partnerships with the commitment to separate the betting pools. Instead, the PMU decided to modify the partnerships in a purely formal manner by establishing two distinct contracts for online and physical collection, even though the PMU could not ignore that such a setup did not change the effect of the partnerships on the bets offered by the PMU through its various betting channels.</w:t>
      </w:r>
    </w:p>
    <w:p>
      <w:r>
        <w:t>166. Secondly, the seriousness of the established breach results from the fact that the commitment to separate the PMU's betting pools is at the heart of the mechanism aimed at preventing the PMU from benefiting the pmu.fr site from the significance of the betting pools collected in the PMU's physical point of sale network under monopoly. However, it emerges from the various data collected during the investigation (see paragraphs 74 and following) that the bets offered on pmu.fr on common pool foreign races primarily benefit from the pooling with the PMU's physical betting pool, the increase in the total betting pool being likely to enhance the stability of the odds and thus improve the attractiveness of the bets offered online by the PMU, which is precisely one of the effects identified in decision no. 14-D-04.</w:t>
      </w:r>
    </w:p>
    <w:p>
      <w:r>
        <w:t>167. Thus, even if in this case, common pool foreign races constitute only a limited part of the PMU's horse betting activity during the period considered, the common pool partnerships with foreign operators potentially allowed the PMU to increase the attractiveness of bets on foreign races offered on the pmu.fr site, which is sufficient to establish the seriousness of the breach.</w:t>
      </w:r>
    </w:p>
    <w:p>
      <w:r>
        <w:t>168. Thirdly, the breach concerning common pool foreign races began as soon as the commitments came into effect on December 31, 2015, and continues to this day. The breach therefore has a maximum duration.</w:t>
      </w:r>
    </w:p>
    <w:p>
      <w:r>
        <w:t>169. It follows from the above that the seriousness of the established breaches is very significant.</w:t>
      </w:r>
    </w:p>
    <w:p>
      <w:r>
        <w:t>3. ON THE IMPACT OF THE ESTABLISHED BREACHES ON THE COMPETITION THAT THE COMMITMENTS AIMED TO PRESERVE</w:t>
      </w:r>
    </w:p>
    <w:p>
      <w:r>
        <w:t>170. The Competition Authority specified in its decision no. 15-D-02 that "regardless of the intrinsic seriousness of the infringement, it is necessary to assess the impact that the behavior of the GIE may have had on the competition that the commitments aimed to preserve. This exercise is not to be confused with an examination of the current or even potential effects of the established infringement on the market or more generally on the economy. Independently of such effects, which may possibly be taken into consideration, it is necessarily in relation to the competitive situation that the decision aimed to preserve that one must reason."</w:t>
      </w:r>
    </w:p>
    <w:p>
      <w:r>
        <w:t>171. The commitments made by the PMU aimed to prevent it from using the resources of its legal monopoly on physical horse betting to enhance the attractiveness of its offer in the open online horse betting market, to the detriment of its competitors.</w:t>
      </w:r>
    </w:p>
    <w:p>
      <w:r>
        <w:t>172. However, through the common pool partnerships with foreign operators, the PMU's online betting offer on foreign races has benefited from a particular attractiveness linked to the stakes collected in its physical network.</w:t>
      </w:r>
    </w:p>
    <w:p>
      <w:r>
        <w:t>173. The PMU, for its part, considers that the common pool partnerships with foreign operators have no effect on the market because they are non-exclusive. Alternative operators would have the possibility to conclude the same type of agreement, including with PMU's partners, as Zeturf recently did by signing a common pool agreement with Phumelela.</w:t>
      </w:r>
    </w:p>
    <w:p>
      <w:r>
        <w:t>174. However, the Authority considers that the objective of the commitment to separate the pools was not to allow alternative operators to offer bets identical to those offered by the PMU, for example by benefiting from the pool collected physically by the PMU, but rather to prevent the PMU's online activity from benefiting from the resources derived from the PMU's monopoly activity. Thus, if in 2014, the hypothesis of distributing the PMU's Quinté + in a pooled and white-label manner was discussed, the Authority did not consider that such a measure was necessary to address competition concerns, noting that "the separation of the pools will not, as such, provide a solution to the low betting pool of alternative operators. However, that is not the objective of this measure. Indeed, the commitment to separate the pools has the sole purpose of restoring a level playing field among operators. It is then up to them to make the difference, through their own merits, to increase their betting pool and their attractiveness." Thus, the fact that alternative operators could theoretically conclude similar common pool agreements on foreign races does not undermine the fact that the PMU, through these agreements, does not comply with the objective of the commitment, which was to separate the unique betting pool between the stakes collected on its pmu.fr site and those collected through its other horse betting channels. Moreover, Zeturf confirmed in session that while it had indeed concluded an agreement with Phumelela, it did not offer bets on the same races as the PMU, precisely in order to differentiate its offer.</w:t>
      </w:r>
    </w:p>
    <w:p>
      <w:r>
        <w:t>175. In any case, the absence of a non-reproducible competitive advantage for the PMU on common pool foreign races is not, based on the elements in the file, established. On the contrary, ARJEL emphasized in its opinion that "the advantages for the PMU of pooling its online and physical betting pools, as well as the resulting competition concerns, are potentially present regardless of the location of the races" and specified that "the objective pursued by the separation of the PMU's pools therefore assumes, to be achieved, that it is independent of the location of the races and the identity of the one who brings them together."</w:t>
      </w:r>
    </w:p>
    <w:p>
      <w:r>
        <w:t>176. Furthermore, it emerges from the file that the PMU negotiates simultaneously with its foreign partners the contracts for online collection and for physical collection, which places it in a negotiating position that is not replicable by alternative operators, given the scale of the stakes collected by the PMU within the framework of its monopoly. Additionally, it appears from the PMU's institutional website that the development of partnerships for the marketing in France of foreign races is part of the PMU's overall development strategy, particularly partnerships for the marketing abroad of bets on French races. The PMU indeed states that "in addition to its obvious interest for its clients, the offer of foreign races allows the PMU to support foreign horse racing sectors and to develop its export partnerships by offering genuine reciprocity." Thus, the PMU can assert to foreign operators access to French races and to its physically collected betting pool, the scale of which is unmatched in Europe, which also places it in a position that online betting operators cannot replicate. These various elements show that the PMU is not in a situation comparable to that of alternative operators.</w:t>
      </w:r>
    </w:p>
    <w:p>
      <w:r>
        <w:t>177. That said, as emerges from the data provided by the PMU and whose order of magnitude is confirmed by ARJEL in its opinion, the total amount of the stakes concerned is currently low (see paragraph 67): [25-30] million euros in 2018, which represents less than 1% of the total stakes collected by the PMU, less than 5% of the stakes collected on foreign races in France, and in any case less than 1% of the stakes collected by the PMU online. The scale of the pooling practice is therefore not at this stage that alleged by the seizing parties, who estimated that more than one billion euros of stakes were concerned by the pooling practice.</w:t>
      </w:r>
    </w:p>
    <w:p>
      <w:r>
        <w:t>178. Furthermore, ARJEL was able to estimate from a sample consisting of four semi-annual reports each covering two weeks of horse racing meetings from February 2017 to September 2018 that "the respective market shares of the PMU and Zeturf are identical on foreign meetings involving pooled races and on those that do not involve them," which would tend to show that the pooling of stakes on these races does not significantly improve the attractiveness of the PMU's bets.</w:t>
      </w:r>
    </w:p>
    <w:p>
      <w:r>
        <w:t>179. However, ARJEL specifies that "if the effect of the pooling of stakes on certain bets placed on foreign races seems minimal, even non-existent in the studied sample, it is necessary to remain cautious in the analysis of these figures, particularly regarding the dynamics of the market."</w:t>
      </w:r>
    </w:p>
    <w:p>
      <w:r>
        <w:rPr>
          <w:b/>
        </w:rPr>
        <w:t>[Pages 37–38]</w:t>
      </w:r>
    </w:p>
    <w:p>
      <w:r>
        <w:t>180. Considering all of these elements, while it is not possible to exclude the existence of an effect on competition from the practice of pooling the PMU's betting pools on foreign races, this effect has, in any case, been limited since the entry into force of the commitments.</w:t>
      </w:r>
    </w:p>
    <w:p>
      <w:r>
        <w:t>4. ON THE AMOUNT OF THE SANCTION</w:t>
        <w:br/>
        <w:t>181. Based on the elements presented above, it is therefore appropriate to impose a sanction of 900,000 euros on the GIE PMU.</w:t>
      </w:r>
    </w:p>
    <w:p>
      <w:r>
        <w:t>DECISION</w:t>
        <w:br/>
        <w:t>Article 1: It is established that the GIE PMU has violated the commitment to separate its online collected betting pools from those collected through its other betting channels, as undertaken by it and made mandatory by the decision of the Competition Authority no. 14-D-04 of February 25, 2014.</w:t>
        <w:br/>
        <w:t>Article 2: For the breach referred to in Article 1, a monetary sanction of 900,000 euros is imposed on the GIE PMU.</w:t>
        <w:br/>
        <w:t>Deliberated on the oral report of Ms. Gaëlle Huerre, rapporteur, and the intervention of Mr. Umberto Berkani, deputy general rapporteur, by Mr. Emmanuel Combe, vice-president, session president, Ms. Marie-Laure Sauty de Chalon, Mr. Jean-Yves Mano, and Mr. Christophe Strassel, members.</w:t>
        <w:br/>
        <w:t>The session secretary, The session president,</w:t>
        <w:br/>
        <w:t>Armelle Hillion Emmanuel Combe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