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https://www.autoritedelaconcurrence.fr/fr/decision/relative-au-respect-des-engagements-pris-loccasion-de-lautorisation-du-rachat-de-la</w:t>
      </w:r>
    </w:p>
    <w:p>
      <w:r>
        <w:t>Pages translated : 19</w:t>
      </w:r>
    </w:p>
    <w:p/>
    <w:p>
      <w:r>
        <w:rPr>
          <w:b/>
        </w:rPr>
        <w:t>[Pages 1–3]</w:t>
      </w:r>
    </w:p>
    <w:p>
      <w:r>
        <w:t>FRENCH REPUBLIC</w:t>
        <w:br/>
        <w:t>Decision No. 18-D-08 of June 14, 2018, regarding compliance with the commitments made during the authorization of the acquisition of the company Dolisos by the company Boiron in the homeopathy sector</w:t>
        <w:br/>
        <w:t>The Competition Authority (section V),</w:t>
        <w:br/>
        <w:t>Having regard to letter No. C 2004-114 from the Minister of Economy, Finance and Industry, dated February 21, 2005, to the board of the company Boiron regarding a concentration in the homeopathic medicines sector;</w:t>
        <w:br/>
        <w:t>Having regard to decision No. 17-SO-03 of April 18, 2017, registered under number 17/0166 RC, by which the Authority took up the conditions under which the company Boiron ensures compliance with the commitments attached to this letter;</w:t>
        <w:br/>
        <w:t>Having regard to Book IV of the Commercial Code and, in particular, its Article L. 430-8;</w:t>
        <w:br/>
        <w:t>Having regard to the observations presented by the company Boiron and the Government Commissioner on May 3, 2018, in response to the report from the investigation services transmitted on April 15, 2018;</w:t>
        <w:br/>
        <w:t>Having regard to the other documents in the file;</w:t>
        <w:br/>
        <w:t>The rapporteurs, the deputy general rapporteur, the Government Commissioner, and representatives of the company Boiron heard during the session of the Competition Authority on May 22, 2018;</w:t>
        <w:br/>
        <w:t>Adopts the following decision:</w:t>
      </w:r>
    </w:p>
    <w:p>
      <w:r>
        <w:t>Summary 1</w:t>
        <w:br/>
        <w:t>In the following decision, the Authority dismisses the non-compliance with one of the commitments made in 2005 by the Boiron laboratory during the acquisition of the Dolisos laboratory in the homeopathic medicines sector.</w:t>
        <w:br/>
        <w:t>This was a commitment to maintain the quality of the offer of the new entity concerning common name medicines, that is to say, medicines directly derived from a homeopathic strain by dilution.</w:t>
        <w:br/>
        <w:t>While considering that the laboratory had not fulfilled part of its obligations in this regard, the investigation report highlighted the difficulties of interpreting the commitment due to the ambiguity of the vocabulary used and the imprecision of the conditions under which the laboratory could deviate from it by adapting its commercial offer to changes in demand.</w:t>
        <w:br/>
        <w:t>After examining the various possible interpretations of the commitment in question and the economic and legal context in which it was to apply, the Authority ultimately concluded that the file did not allow for a finding of non-compliance with its commitment by the Boiron laboratory and consequently issued a dismissal.</w:t>
        <w:br/>
        <w:t>1 This summary is strictly informative. Only the reasons for the decision numbered below are authoritative.</w:t>
      </w:r>
    </w:p>
    <w:p>
      <w:r>
        <w:t>SUMMARY</w:t>
        <w:br/>
        <w:t>I. Findings .................................................................................... 4</w:t>
        <w:br/>
        <w:t>A. THE PROCEDURE ............................................................................................................................. 4</w:t>
        <w:br/>
        <w:t>B. THE HOMEOPATHIC MEDICINES SECTOR ................................................... 4</w:t>
        <w:br/>
        <w:t>1. GENERAL OPERATION AND REGULATORY FRAMEWORK .............................................. 4</w:t>
        <w:br/>
        <w:t>a) The manufacturing process of homeopathic medicines ..................... 4</w:t>
        <w:br/>
        <w:t>b) The categories of homeopathic medicines ............................................. 5</w:t>
        <w:br/>
        <w:t>c) The control of the marketing of homeopathic medicines ...... 5</w:t>
        <w:br/>
        <w:t>C. THE CONDITIONS FOR AUTHORIZATION OF THE OPERATION ............................................ 7</w:t>
        <w:br/>
        <w:t>1. COMPETITIVE ANALYSIS OF THE AUTHORIZATION DECISION ................................ 7</w:t>
        <w:br/>
        <w:t>2. THE COMMITMENT MADE ON THE MARKETING OF MNCs ....................................... 7</w:t>
        <w:br/>
        <w:t>3. THE EVOLUTION OF BOIRON'S COMMERCIAL OFFER AFTER 2005 ................................ 9</w:t>
        <w:br/>
        <w:t>a) Professionals noted a decrease in common name specialties</w:t>
        <w:br/>
        <w:t>................................................................................................................................... 9</w:t>
        <w:br/>
        <w:t>b) The count of available medicines carried out by Boiron in the</w:t>
        <w:br/>
        <w:t>context of the investigation .............................................................................................. 9</w:t>
        <w:br/>
        <w:t>II. Discussion ..................................................................................... 10</w:t>
        <w:br/>
        <w:t>A. UNCERTAINTIES ABOUT THE SCOPE OF COMMITMENT NO. 1 .................................. 10</w:t>
        <w:br/>
        <w:t>1. ON THE NECESSITY TO INTERPRET COMMITMENT NO. 1 ............................................. 10</w:t>
        <w:br/>
        <w:t>2. ON THE ORIGIN OF THE CONFUSION .................................................................................... 11</w:t>
        <w:br/>
        <w:t>3. ON THE INTERPRETATION OF THE APPLICABLE TEXTS IN 2004 ......................................... 12</w:t>
        <w:br/>
        <w:t>4. ON THE QUANTITATIVE ISSUES OF THE NOTION OF NOMENCLATURE ............................. 13</w:t>
        <w:br/>
        <w:t>B. ASSESSMENT OF COMPLIANCE WITH COMMITMENT NO. 1 ............................................. 14</w:t>
        <w:br/>
        <w:t>1. THE EXTERNAL COHERENCE OF THE DRAFTING OF COMMITMENT NO. 1 ........................ 15</w:t>
        <w:br/>
        <w:t>2. THE INTERNAL COHERENCE OF THE DRAFTING OF COMMITMENT NO. 1 ......................... 16</w:t>
        <w:br/>
        <w:t>DECISION ......................................................................................................................... 19</w:t>
      </w:r>
    </w:p>
    <w:p>
      <w:r>
        <w:rPr>
          <w:b/>
        </w:rPr>
        <w:t>[Pages 4–6]</w:t>
      </w:r>
    </w:p>
    <w:p>
      <w:r>
        <w:t>I. Findings</w:t>
        <w:br/>
        <w:t>A. THE PROCEDURE</w:t>
        <w:br/>
        <w:t>1. The operation from which the commitments examined in this case originated consisted of the merger-absorption of the company Laboratoires Dolisos (hereinafter "Dolisos") by the company Boiron (hereinafter "Boiron"). Following the opinion of the Competition Council No. 05-A-01 of January 7, 2005, the operation was authorized by the Minister of Economy, Finance and Industry, subject to several commitments (hereinafter, the "commitments"), by letter C 2004-1114 of February 21, 2005, relating to a concentration in the homeopathic medicines sector (hereinafter, the "authorization decision"). The operation was completed on June 30, 2005.</w:t>
        <w:br/>
        <w:t>2. By decision No. 17-SO-03 of April 18, 2017, registered under number 17/0166 RC, the Competition Authority took the initiative to examine the conditions under which Boiron complied with the commitments attached to the authorization decision.</w:t>
        <w:br/>
        <w:t>3. A report concluding non-compliance with commitments was notified to Boiron on April 15, 2018. The observations of the government commissioner and Boiron in response to this report were received on May 3, 2018.</w:t>
        <w:br/>
        <w:t>B. THE HOMEOPATHIC MEDICINES SECTOR</w:t>
        <w:br/>
        <w:t>1. GENERAL OPERATION AND REGULATORY FRAMEWORK</w:t>
        <w:br/>
        <w:t>a) The manufacturing process of homeopathic medicines</w:t>
        <w:br/>
        <w:t>4. According to the definition given in 5) of Article 1 of Directive 2001/83/EC establishing a Community code relating to medicinal products for human use, a homeopathic medicine is defined as: "any medicine obtained from substances called homeopathic strains according to a homeopathic manufacturing process described by the European Pharmacopoeia or, failing that, by the pharmacopoeias currently used officially in the Member States. A homeopathic medicine may contain several active ingredients."</w:t>
        <w:br/>
        <w:t>5. European texts, like the French Public Health Code, therefore recognize only two categories of homeopathic products: homeopathic medicines and homeopathic strains that allow for their manufacture.</w:t>
        <w:br/>
        <w:t>6. These homeopathic strains are themselves obtained from active ingredients, 80% of which are of plant origin and, for the remaining 20%, of animal or mineral origin. These ingredients undergo maceration or trituration to prepare a "mother tincture." The term "mother tincture" is recognized by the texts, with 3° of Article L 5121-13 of the Public Health Code thus requiring the evaluation of the degree of dilution ensuring the safety of the medicine by directly referencing it: "the medicine may not contain more than one part per 10,000 of the mother tincture, nor more than one-hundredth of the smallest dose used in allopathy," this wording being a restatement of that mentioned in 1) of Article 14 of the aforementioned 2001 directive.</w:t>
        <w:br/>
        <w:t>7. This mother tincture is then subjected to successive dilutions to obtain different dosages of medicines, each dilution by one-hundredth corresponding to a unit in the centesimal scale CH. The dilution at 1/10,000 is therefore equivalent to 2 CH.</w:t>
        <w:br/>
        <w:t>8. Since homeopathic medicines are obtained by diluting the mother tincture, the first dilution authorized for human use has a dual status. It is first the raw material for all subsequent dilutions, 3 CH, 5 CH, 7 CH, 10 CH, etc., but it is also, in itself, a medicine that can be subject to industrial manufacture for commercialization, if its high concentration is considered compatible with therapeutic use. From the perspective of the chronology of the manufacturing process, it is potentially the first authorized unitary homeopathic medicine derived from a given strain.</w:t>
        <w:br/>
        <w:t>b) The categories of homeopathic medicines</w:t>
        <w:br/>
        <w:t>9. From the perspective of market analysis, the Competition Council and the Minister distinguished two categories of homeopathic medicines: branded medicines (MNM), on the one hand, whose purpose and regime bring them closer to ordinary non-reimbursable medicines, and common name medicines (MNC), on the other hand, which are the basic homeopathic medicines. Indeed, MNCs do not have a specific therapeutic indication and are prescribed on a case-by-case basis by the homeopathic physician in application of the principle of individualization, which is one of the foundations of homeopathic doctrine.</w:t>
        <w:br/>
        <w:t>10. The Competition Council and the Minister further segmented MNCs into three categories:</w:t>
        <w:br/>
        <w:t>(i) common name specialties ("SNC") composed of the name of a "strain" attached to its dilution expressed numerically in centesimal hahnemannian called CH (for example, Histaminum 15 CH);</w:t>
        <w:br/>
        <w:t>(ii) common prescription formulas ("FPC") composed of several unitary homeopathic medicines (for example, "Nux Vomica composed" which consists of Nux vomica 3 CH, Argentum nitricum 3 CH, Abies nigra 3 CH, Robinia 3 CH, solidago 3 DH, condurango 3 CH, Bryonia 3 CH);</w:t>
        <w:br/>
        <w:t>(iii) magistral preparations prepared on demand by pharmacies or laboratories for a particular patient.</w:t>
        <w:br/>
        <w:t>11. MNCs are partially reimbursed by social security and their prices are regulated. MNMs are not reimbursed and their prices are free. They are easily identifiable by their commercial name and include a therapeutic indication that makes them easier for patients to use. The most well-known specialties, such as Oscillococcinum (for flu), Cocculine (for motion sickness), or Sédatif PC (for stress), are indeed the subject of advertising campaigns.</w:t>
        <w:br/>
        <w:t>c) The control of the marketing of homeopathic medicines</w:t>
        <w:br/>
        <w:t>12. Before the entry into force of Directive 2004/27/EC of the European Parliament and of the Council of March 31, 2004, amending the aforementioned Directive 2001/83/EC and its transposition into national law by Law No. 2007-248 of February 26, 2007, homeopathic medicines were subject to a unique authorization granted by decision of the Minister of Social Affairs and National Solidarity of June 21, 1984, for 1163 common name strains.</w:t>
        <w:br/>
        <w:t>13. However, this list only covers about one-third of the homeopathic strains recognized by the pharmacopoeia, and there are about 2000 strains, not authorized for industrial manufacture but which remain available on demand.</w:t>
        <w:br/>
        <w:t>14. An order from the Minister of Health of September 12, 1984, established the list of reimbursable homeopathic medicines. The order included the list of the 1163 authorized strains and presented, in three annexes, a list of reimbursable specialties with their various dilutions as well as the names of the laboratories authorized to manufacture them.</w:t>
        <w:br/>
        <w:t>15. This system was profoundly modified by the entry into force of the aforementioned 2007 law, which now provides for a registration procedure for MNCs. This "homeopathic registration" (EH) is considered, in some respects, as a streamlined or "simplified" procedure (to use the terms of the directive), since it exempts homeopathic medicines from the common authorization procedure for marketing, but it is nevertheless more stringent than the previous regime of unique authorization, in that it requires each laboratory to take the initiative for a registration request, strain by strain, in order to implement industrial production of homeopathic medicines.</w:t>
        <w:br/>
        <w:t>16. Homeopathic laboratories are thus required, for each strain serving as raw material for the manufacture of their specialties, to compile a registration request file indicating the heights of dilutions they wish to manufacture and market. The authorization granted for a renewable period of five years is valid for all medicines in the indicated heights of dilutions of the concerned strain. Furthermore, this registration is subject to the principle of caducity in the event of absence of effective marketing for three consecutive years, under conditions that have been specified by a notice from the Ministry of Health to laboratories, published in the official journal of November 5, 2010.</w:t>
        <w:br/>
        <w:t>17. The registration process for strains already marketed under the old regulation has been initiated in phases affecting batches of strains classified in alphabetical order. To date, according to information provided by Boiron during the session, 359 strains would have benefited from this registration, with the others awaiting a decision.</w:t>
        <w:br/>
        <w:t>18. Thus, the commitments of 2005 were made at a time when there were only two categories of strains, the 1163 strains authorized by the Minister for the manufacture of medicines and about 2000 unauthorized strains, from which laboratories could, however, market products on demand.</w:t>
        <w:br/>
        <w:t>19. This system has gradually given way, after the vote of the aforementioned 2007 law, to the EH system which has temporarily revealed three categories: the registered strains from which industrially manufactured homeopathic medicines are made, the strains not yet registered but which remain authorized under the 1984 regime with unchanged conditions for the marketing of derived medicines, and the unauthorized and unregistered strains, which cannot be used for the industrial production of medicines, with preparations from these strains therefore only available on demand.</w:t>
      </w:r>
    </w:p>
    <w:p>
      <w:r>
        <w:rPr>
          <w:b/>
        </w:rPr>
        <w:t>[Pages 7–9]</w:t>
      </w:r>
    </w:p>
    <w:p>
      <w:r>
        <w:t>C. CONDITIONS FOR AUTHORIZATION OF THE OPERATION</w:t>
        <w:br/>
        <w:t>1. COMPETITIVE ANALYSIS OF THE AUTHORIZATION DECISION</w:t>
        <w:br/>
        <w:t>20. The parties, Boiron and Dolisos, were active in both segments of the market for the manufacturing and marketing of homeopathic medicines: MNCs and MNMs. However, competition concerns mainly focused on the MNC market, where the operation resulted in the creation of a "quasi-monopoly" (91.4% combined market share).</w:t>
        <w:br/>
        <w:t>21. The identified harm to competition did not result from a risk of price increase, as prices are administratively set for MNCs covered by social security, but from a non-price effect consisting of a risk of deterioration in the quality of the offer, given the extent of the combined nomenclature of MNCs from both laboratories.</w:t>
        <w:br/>
        <w:t>22. In its opinion, the Competition Council thus considered, regarding MNCs, that "the proposed concentration could therefore have negative effects in terms of the quality of the service provided and the range of products." However, the opinion also noted that the commercial offer of common name specialties (SNC) could not be extended indiscriminately and was necessarily constrained for reasons of economic profitability: "as indicated by the operating accounts of the parties to the operation, it seems that the SNC activity is barely profitable, even for Boiron, which represents almost 70% of the market in value. Dolisos, whose main activity is the production and marketing of SNC (90% of revenue), has reported a negative operating result since 1999" (opinion, paragraph 78).</w:t>
        <w:br/>
        <w:t>2. THE COMMITMENT MADE ON THE MARKETING OF MNCs</w:t>
        <w:br/>
        <w:t>23. Boiron made four commitments concerning various aspects of the operation, three of which are considered fully respected, with only commitment no. 1 being at issue here. It is thus worded:</w:t>
        <w:br/>
        <w:t>"The Boiron-Dolisos Laboratories commit to continue marketing all unitary strains with a common name listed in the nomenclatures of Boiron and Dolisos (which include the strains listed in the decision of the Minister of Social Affairs and National Solidarity dated June 21, 1984 - as amended - as well as other common name strains not listed in this text), as of the date of submission of the notification file of the operation to the Minister of Economy, Finance and Industry."</w:t>
        <w:br/>
        <w:t>"This commitment is made subject to changes in pharmaceutical regulations that would make its execution impossible and subject to the renewal of the registrations and marketing authorizations of Boiron and Dolisos being authorized within the framework of community directives and in accordance with the opinion of the Minister of Health, Family and Disabled Persons dated March 7, 2001, amended by the opinion of January 17, 2003."</w:t>
        <w:br/>
        <w:t>"This commitment will cease to apply to any unitary strain with a common name for which the Parties encounter a proven impossibility of supply."</w:t>
        <w:br/>
        <w:t>"Finally, the Boiron-Dolisos Laboratories may modify their nomenclature and cease the marketing of unitary strains with a common name that were listed therein by making a written request to the AFSSAPS. Unless expressly refused by the AFSSAPS, the Boiron-Dolisos Laboratories may cease the marketing of the concerned strains after a maximum period of five months from the submission of their request."</w:t>
        <w:br/>
        <w:t>"In addition, the Boiron-Dolisos Laboratories commit to continue marketing all commonly prescribed formulas marketed by Boiron and Dolisos as of the date of submission of the notification file of the operation to the Minister of Economy, Finance and Industry."</w:t>
        <w:br/>
        <w:t>"The Boiron-Dolisos Laboratories will also maintain a manufacturing activity for magistral preparations on medical prescription, as long as there is tolerance by the AFSSAPS for this subcontracting activity for the benefit of pharmacies."</w:t>
        <w:br/>
        <w:t>24. The last two paragraphs, which concern commonly prescribed formulas and magistral preparations, do not call for comments. It is only the first four, relating to common name medicines, that justified the opening of a procedure. The provisions of this part of commitment no. 1 include a main obligation and four reservations.</w:t>
        <w:br/>
        <w:t>25. The main commitment is to: "continue to market all unitary strains with a common name listed in the nomenclatures of Boiron and Dolisos (which include the strains listed in the decision of the Minister of Social Affairs and National Solidarity dated June 21, 1984 - as amended - as well as other common name strains not listed in this text)."</w:t>
        <w:br/>
        <w:t>26. The four reservations are as follows:</w:t>
        <w:br/>
        <w:t>"Subject to changes in regulations making its execution impossible";</w:t>
        <w:br/>
        <w:t>"Subject to the renewal of the registrations and marketing authorizations of Boiron and Dolisos being authorized within the framework of European directives";</w:t>
        <w:br/>
        <w:t>Except for "any unitary strain with a common name for which the Parties encounter a proven impossibility of supply";</w:t>
        <w:br/>
        <w:t>Subject to being able to "modify the nomenclature and cease the marketing of unitary strains with a common name that were listed therein by making a written request to the AFSSAPS," unless it expressly opposes.</w:t>
        <w:br/>
        <w:t>27. The main commitment thus refers to a category of products designated by the expression "unitary strain with a common name," which does not cover any of the categories identified, for the purposes of the competitive analysis, by the Competition Council and the Minister (cf. supra paragraphs 9 and 10). This category, which is not defined by any legislative or regulatory text, cannot be immediately identified with "common name medicines" (MNC), "common name specialties" (SNC), "common name strains," or "homeopathic strains," the last two expressions appearing in the text.</w:t>
        <w:br/>
        <w:t>28. The same applies to the four reservations, which also use the terms "unitary strain with a common name," in different contexts, the last one also providing for the intervention of the French Agency for Health Product Safety (AFSSAPS), which has become the National Agency for the Safety of Medicines and Health Products (ANSM).</w:t>
      </w:r>
    </w:p>
    <w:p>
      <w:r>
        <w:t>3. THE EVOLUTION OF BOIRON'S COMMERCIAL OFFER AFTER 2005</w:t>
        <w:br/>
        <w:t>a) Professionals noted a decrease in common name specialties</w:t>
        <w:br/>
        <w:t>29. During the market test, the National Union of Pharmacies of France, while acknowledging that "not all strains have the same importance for the homeopathic strategy in France, some no longer being or almost no longer used by healthcare professionals," considers, regarding the most used strains, that: "The first observation that stands out when comparing the 2005 nomenclature and that of 2015 is the decrease of about 1,620 strains, or 38.6% disappearance of the nomenclature (for Boiron laboratories only)."</w:t>
        <w:br/>
        <w:t>30. The statements from the Weleda laboratory confirm this interpretation: "In general, and without an exhaustive analysis having been carried out, it should be noted that for all or part of the registered strains, BOIRON has chosen to manufacture only the commonly prescribed dilutions (4, 5, 7, 9, 12, 15, and 30 CH)." We are indeed talking about specialties and not strains.</w:t>
        <w:br/>
        <w:t>31. Other statements from professionals confirm this evolution in the number of specialties marketed by Boiron since 2005 but do not provide precise information on their exact number or the reasons for the deletions.</w:t>
        <w:br/>
        <w:t>b) The count of available medicines carried out by Boiron in the context of the investigation</w:t>
        <w:br/>
        <w:t>32. Although disagreeing on the fact that the 2005 nomenclature could designate another category of homeopathic products other than a list of strains (cf. infra), Boiron accepted, at the request of the investigation services, to search its archives to establish a list of medicines available in 2005. By letter dated July 24, 2017, Boiron thus produced a comprehensive analysis of the evolution of the list of specialties available at Boiron/Dolisos and then at Boiron between the date of notification of the operation and 2017.</w:t>
        <w:br/>
        <w:t>33. Regarding first the medicines manufactured from strains that were subject to homeopathic registration (EH) among the 1,163 strains listed in the ministerial decision of June 21, 1984, Boiron first indicates that: "1,875 MNC have been maintained as is since 2005; 695 MNC have been created (these medicines were previously only made on request)."</w:t>
        <w:br/>
        <w:t>34. Regarding the modifications and the reasons that justified them, Boiron indicates that: "32 MNC are subject to equivalence, the same dilution being available in Tube or Dose; 10 MNC corresponding to rare dilutions are subject to equivalence with a very close dilution height (for example: a 6 CH dilution available in 5 CH or 7 CH); 26 MNC are no longer currently available because the requested volumes have become insufficient to allow for industrial manufacturing validated by the ANSM, industrial manufacturing being made mandatory by the EH; 31 MNC have been discontinued because their dilution is not included in the dilutions authorized by the EH."</w:t>
        <w:br/>
        <w:t>35. Regarding then the SNC produced from strains still under the global authorization among the 1,163 strains listed in the 1984 decree, Boiron indicates that: "These strains number 689. For 474 of these strains, the list of dilutions available in tubes and doses in 2017 is strictly identical to that of 2005.</w:t>
      </w:r>
    </w:p>
    <w:p>
      <w:r>
        <w:rPr>
          <w:b/>
        </w:rPr>
        <w:t>[Pages 10–12]</w:t>
      </w:r>
    </w:p>
    <w:p>
      <w:r>
        <w:t>For the 215 other strains in this category, the first deliverable height of dilution had to be raised for safety reasons in order to retain only those heights of dilution that provide all guarantees."</w:t>
        <w:br/>
        <w:t>36. Finally, regarding the specialties marketed by Boiron/Dolisos but manufactured from strains not listed in the ministerial decision of 1984, Boiron argues that some strains have been "repealed, stopped, or suspended."</w:t>
        <w:br/>
        <w:t>37. It specifies that: "46+23=69 strains have been repealed by the ANSM, most often for lack of homeopathic justification in the context of the examination of the homeopathic registration application submitted by Boiron according to the schedule published by the ANSM; the repeal of strains by the ANSM prohibits any manufacturing of MNCs derived from these strains, while others have been repealed for pharmaceutical reasons; 5 strains have been stopped following a decision by the AFSSAPS for safety reasons; 5 strains are subject to supply impossibilities and are suspended (but not stopped) as long as this impossibility persists."</w:t>
        <w:br/>
        <w:t>II. Discussion</w:t>
        <w:br/>
        <w:t>A. UNCERTAINTIES REGARDING THE SCOPE OF COMMITMENT NO. 1</w:t>
        <w:br/>
        <w:t>1. ON THE NEED TO INTERPRET COMMITMENT NO. 1</w:t>
        <w:br/>
        <w:t>38. Following several exchanges of correspondence between Boiron and the ANSM in 2013, a divergence emerged regarding the scope of commitment no. 1. This divergence originates from the different interpretations of the phrase "all unitary strains with a common name listed in the nomenclatures of Boiron and Dolisos" and more specifically the meaning to be given to the terms "unitary strain with a common name" and "nomenclature."</w:t>
        <w:br/>
        <w:t>39. For the notifying party, the important term is "strain," which can only refer, in light of the regulations, to the substance used for the manufacture of homeopathic specialties through successive dilutions, and the term "nomenclature" can therefore only refer to the list of these strains.</w:t>
        <w:br/>
        <w:t>40. For the administration, as confirmed by the written conclusions of the Government Commissioner in this case, the expression "unitary with a common name" can only be understood by reference to a homeopathic medicine marketed under a specific dilution and dosage form and, consequently, the nomenclature of "unitary strains with a common name" necessarily refers to the list of medicines actually marketed by Boiron in 2005.</w:t>
        <w:br/>
        <w:t>41. The difficulty in resolving these two interpretations is exacerbated by the procedure used. Indeed, following negotiations between Boiron and the minister's services, the concentration authorization took the form of a simple letter accepting the commitments drafted and voluntarily submitted by Boiron, the minister having deemed it unnecessary or inappropriate to issue a decree imposing measures drafted by his services.</w:t>
        <w:br/>
        <w:t>42. It therefore seems delicate for the Authority, which was not involved in the drafting of this authorization decision but must now ensure compliance with the commitments made, to take a position, thirteen years after the concentration operation, while it has no specific information on the content of these discussions, of which there are no exhaustive written records.</w:t>
        <w:br/>
        <w:t>43. This clarification is nevertheless necessary, insofar as Boiron has contacted the investigation services of the Authority to consider lifting the commitments made in 2005. The general rapporteur wished to have the question of the interpretation of commitment no. 1 decided by the board beforehand and initiated a procedure for non-compliance with commitments in order to establish an adversarial debate between these two theses.</w:t>
        <w:br/>
        <w:t>2. ON THE ORIGIN OF THE CONFUSION</w:t>
        <w:br/>
        <w:t>44. The expression "unitary strain with a common name" is evidently a significant source of difficulties, as recalled above, since it does not appear in either the opinion of the Competition Council or in the minister's letter and is only associated, in relation to the notion of "laboratory nomenclature" and a list with regulatory status, with the ministerial decision of June 21, 1984, in the commitments drafted and submitted by Boiron, without anyone having noticed the potential inconsistency of these multiple references.</w:t>
        <w:br/>
        <w:t>45. However, there are several reasons that explain why insufficient attention was paid to the use of this expression.</w:t>
        <w:br/>
        <w:t>46. First of all, the use of acronyms (MNM, MNC, SNC) has become widespread in the homeopathy sector as in others. However, the two expressions "strain with a common name" and "specialty with a common name" share the same acronym, SNC, making its use inherently a source of confusion, even though positive law clearly distinguishes between strain and specialty, the latter always referring to a homeopathic medicine.</w:t>
        <w:br/>
        <w:t>47. For example, Article 2 of Decree No. 2000-1194 of December 5, 2000, as amended, setting the registration fees for medicines, provides for a first application: "a) Unitary homeopathic medicines or series of homeopathic medicines obtained from the same homeopathic strain: 1768 Euros per application." This text thus relies on the cardinal distinction between medicines and strains, which structures all regulation, and reserves the adjective "unitary" for the former.</w:t>
        <w:br/>
        <w:t>48. The Competition Council inadvertently perpetuated the confusion by using the two terms, strain and specialty, interchangeably in its opinion, as covering, under the acronym SNC, the same product: "Firstly, the strains or specialties with a common name or strains with a common name (SNC) have a designation taking the form of 'scientific Latin name + dosage + CH' (opinion, paragraph 33).</w:t>
        <w:br/>
        <w:t>49. The minister adopted the same wording in his 2005 letter: "The MNCs group three types of medicines, (i) the strains or specialties with a common name or strains with a common name (SNC)" (authorization letter, page 2, II).</w:t>
        <w:br/>
        <w:t>50. The expression clearly corresponds to a linguistic convenience that does not shock professionals since, in his letter of September 12, 2013, the Deputy Director General of the ANSM, well placed to clarify the controversial expression, himself referred to the minister's letter to provide the correct definition of a "unitary strain with a common name," without referring to the Public Health Code or any other official text: "unitary strains with a common name are clearly defined in the letter from the Minister of Economy" (reference 451). However, this supposed "clear definition" could not stem from the minister's letter, as it mentions strains, strains with a common name, and specialties with a common name, but never "unitary strains with a common name."</w:t>
        <w:br/>
        <w:t>51. Finally, suggesting that one could indiscriminately speak of "strains or specialties with a common name or strains with a common name" poses a serious lexicographical problem. Indeed, one might possibly accept, in the field of homeopathy, that "strain" is substitutable in all its occurrences for "strain with a common name," the latter expression being redundant since a common name is a name of a strain.</w:t>
        <w:br/>
        <w:t>52. In contrast, it is impossible to accept that "specialty with a common name" is substitutable in all its occurrences for "strain." Otherwise, there would indeed be no available word to designate a "strain" when one specifically intends to refer to a homeopathic strain and not a medicine.</w:t>
        <w:br/>
        <w:t>53. It thus appears that the ambiguity of the expression "unitary strain with a common name" results from its hybrid nature. The word "strain" always refers to homeopathic strains, a category well identified by positive law texts, while the adjective "unitary" can only refer to a specialty that, precisely because it is obtained from a single strain, is qualified as "unitary" in contrast to specialties prepared from multiple strains which are said to be "complex" or "composed." Finally, the expression "with a common name" is largely redundant since it simply refers to the fact that a unitary specialty with a common name (SNC) necessarily bears the same name as the unique strain from which it is derived.</w:t>
        <w:br/>
        <w:t>3. ON THE INTERPRETATION OF THE APPLICABLE TEXTS IN 2004</w:t>
        <w:br/>
        <w:t>54. The controversial commitment must be interpreted as of the date of the notification of the operation, the year 2004, and it is appropriate to refer, as the investigation report does, to the decree of September 12, 1984, which sets the list of reimbursable homeopathic specialties and is the only reference text of the time dealing with strains and specialties, even if the letter of the commitments refers to the ministerial decision of June 21, 1984, and not to the decree itself, which is a few months later.</w:t>
        <w:br/>
        <w:t>55. Article 2 of this decree states: "The homeopathic specialties corresponding to the homeopathic products listed in Annex III of this decree are registered on the list of reimbursable specialties for social security beneficiaries, manufactured in the pharmaceutical forms and presentation models of Annex I by the laboratories listed in Annex II."</w:t>
        <w:br/>
        <w:t>56. Of the three annexes mentioned, the second, which provides a list of approved laboratories, is not relevant to this case, but the first and third can provide information since their combination may allow for the establishment of a nomenclature, at least for reimbursable specialties.</w:t>
        <w:br/>
        <w:t>57. Annex III entitled "Nomenclature of reimbursable homeopathic products" explicitly refers to what the regulations also call homeopathic strains. The list indeed includes the 1163 strains authorized by the ministerial decision of June 1984, mentioning the Latin name of the product and the part used, without indication of dilution or dosage form. For example: "Acalypha indica, whole plant; Acarigus bulbosus, whole mushroom; Adansonia digitata, leaf; Alnus glutinosa, bark; etc..." This official nomenclature, referred to in the commitment, is indeed a nomenclature of strains.</w:t>
      </w:r>
    </w:p>
    <w:p>
      <w:r>
        <w:rPr>
          <w:b/>
        </w:rPr>
        <w:t>[Pages 13–15]</w:t>
      </w:r>
    </w:p>
    <w:p>
      <w:r>
        <w:t>final version, and "souches à nom commun" mentioned in the minister's injunction. This mixture creates confusion regarding the scope of the commitment and the specific products it covers.</w:t>
      </w:r>
    </w:p>
    <w:p>
      <w:r>
        <w:t>80. In conclusion, the external coherence of the drafting of commitment no. 1 reveals significant ambiguities regarding the interpretation of the terms used, particularly concerning the distinction between unitary strains and common name strains. The evolution of the language used in the various documents indicates a shift in focus from a specific list of authorized strains to a broader commercial catalog, which complicates the verification of compliance with the commitment.</w:t>
      </w:r>
    </w:p>
    <w:p>
      <w:r>
        <w:t>2. INTERNAL COHERENCE OF THE TEXT OF THE COMMITMENT</w:t>
        <w:br/>
        <w:t>81. An internal coherence analysis of the text of the commitment can also provide insights into its interpretation. By examining the different paragraphs of the commitment, one can assess whether the language used is consistent and whether it aligns with the intentions expressed in the external documents.</w:t>
      </w:r>
    </w:p>
    <w:p>
      <w:r>
        <w:t>82. The commitment states that "the laboratories Boiron-Dolisos undertake to continue to market the entirety of the unitary strains with common names listed in the nomenclatures of Boiron and Dolisos." This phrasing suggests a commitment to a specific list of products, but the lack of clarity regarding what constitutes a "unitary strain with a common name" raises questions about the actual scope of the commitment.</w:t>
      </w:r>
    </w:p>
    <w:p>
      <w:r>
        <w:t>83. Furthermore, the commitment does not specify the criteria for determining which strains are included in the nomenclature, nor does it provide a clear mechanism for updating the list as new strains are developed or existing strains are modified. This lack of specificity could lead to disputes over compliance and the interpretation of the commitment in the future.</w:t>
      </w:r>
    </w:p>
    <w:p>
      <w:r>
        <w:t>84. Overall, the internal coherence of the text of the commitment highlights the need for a more precise definition of the terms used and a clearer framework for compliance verification. Without these clarifications, the commitment may be subject to varying interpretations, which could undermine its effectiveness and the intended protection of competition in the market for homeopathic medicines.</w:t>
      </w:r>
    </w:p>
    <w:p>
      <w:r>
        <w:rPr>
          <w:b/>
        </w:rPr>
        <w:t>[Pages 16–18]</w:t>
      </w:r>
    </w:p>
    <w:p>
      <w:r>
        <w:t>project of injunction, and "common name strains" which does not appear in either but is used here to refer to the "strains not listed in the 1984 decision."</w:t>
      </w:r>
    </w:p>
    <w:p>
      <w:r>
        <w:t>80. However, not only are these expressions not synonymous, but they refer to lists of different natures, which have been deliberately combined to broaden the scope of the commitment. According to the commitment, the nomenclatures of Boiron and Dolisos are thus supposed to "group" the 1984 list, namely the 1163 authorized strains, and a complementary list, of unspecified composition, but which would be constructed from the common name strains not listed by the 1984 text.</w:t>
      </w:r>
    </w:p>
    <w:p>
      <w:r>
        <w:t>81. At the end of this analysis, one must ultimately choose between two conclusions, each presenting inconsistencies. Either the addition of the two lists makes sense only if they are indeed two lists of strains in the sense of the 1984 decision, as Boiron argues, but then the retention of the expression "unitary strains with a common name" cannot be explained. Or this expression is intended to refer to a list of SNC derived from a commercial catalog, as the minister argues, but in this case, nothing explains why this list of medicines would be partly composed of the list of the 1163 authorized strains from 1984.</w:t>
      </w:r>
    </w:p>
    <w:p>
      <w:r>
        <w:t>2. INTERNAL COHERENCE OF THE DRAFTING OF COMMITMENT NO. 1</w:t>
      </w:r>
    </w:p>
    <w:p>
      <w:r>
        <w:t>82. The expression "unitary strains with a common name" is used in three paragraphs of commitment no. 1, which has four paragraphs dedicated to this subject. The first occurrence is that of the commitment itself with an unclear meaning. As for the other two, which appear in the reservations, it is necessary to determine which of the two possible interpretations of the controversial expression is the most coherent in light of their scope.</w:t>
      </w:r>
    </w:p>
    <w:p>
      <w:r>
        <w:t>83. The second occurrence is that of the reservation in paragraph 3, which provides that the commitment in paragraph 1 "will cease to apply to any unitary strain with a common name for which the parties encounter a proven impossibility of supply."</w:t>
      </w:r>
    </w:p>
    <w:p>
      <w:r>
        <w:t>84. As rightly pointed out by the investigation services in paragraph 56 of their report: "This wording also refers to the strain stricto sensu as a raw material since the notion of supply, for a pharmaceutical laboratory manufacturing medicines, only makes sense for a raw material." This paragraph, which has no equivalent in the minister's project of injunction, seems to confirm the interpretation of the commitment given by Boiron, who is its drafter.</w:t>
      </w:r>
    </w:p>
    <w:p>
      <w:r>
        <w:t>85. However, the report does not exclude that, for convenience or haste, the same terms may have been incorrectly used in two paragraphs, giving them two different meanings, or that in an attempt to make the wording of the paragraph more compact, its meaning may have been clumsily simplified, which actually refers "to the situation of any unitary strain with a common name (in the sense of medicine) for which the parties encounter a proven impossibility of supply of the raw material strain of said SNC." However, this interpretation is not supported by any concrete element and must therefore be considered entirely hypothetical.</w:t>
      </w:r>
    </w:p>
    <w:p>
      <w:r>
        <w:t>86. The third occurrence is that of the fourth paragraph relating to the possibility of "evolving the nomenclature and ceasing the marketing of unitary strains with a common name that were listed therein," subject to the agreement of the ANSM.</w:t>
      </w:r>
    </w:p>
    <w:p>
      <w:r>
        <w:t>87. However, in its decisions accepting the cessation of marketing of a homeopathic medicine, the ANSM does not reason by medicine or by specialty (SNC) but by strain whose visa must be revoked, and merely orders the applicant to draw all useful consequences regarding the withdrawal of medicines derived from the strain.</w:t>
      </w:r>
    </w:p>
    <w:p>
      <w:r>
        <w:t>88. As an example of this approach, the Boiron laboratory submitted six requests for "cessation of marketing of homeopathic strains" addressed to the ANSM between April 2013 and November 2015, for a total of 71 strains.</w:t>
      </w:r>
    </w:p>
    <w:p>
      <w:r>
        <w:t>89. These letters, such as the one dated June 10, 2014, informed the ANSM of the laboratory's decision not to submit a registration file for a certain number of strains before the deadline and specified that "these steps are part of the commitments made during the Boiron/Dolisos merger," recalling that "the 4th paragraph of commitment No. 1" grants the Agency a power of opposition in this area.</w:t>
      </w:r>
    </w:p>
    <w:p>
      <w:r>
        <w:t>90. The ANSM favorably responded to these requests in September 2017 with six decisions from its director general concerning the "repeal of the authorization of series of homeopathic medicines" presented according to the same model.</w:t>
      </w:r>
    </w:p>
    <w:p>
      <w:r>
        <w:t>91. The decisions primarily address the registration deadline of the strains in question, for example: "Considering the deadline of June 30, 2014, set by the notice to the holder for the submission of files for strains whose designation begins with the letters SOK-TAB," and then acknowledge Boiron's request not to re-register certain strains before this date, for example, "Considering the letter from the Boiron laboratories dated June 10, 2014, informing the ANSM of their intention not to submit a registration request for these strains."</w:t>
      </w:r>
    </w:p>
    <w:p>
      <w:r>
        <w:t>92. Finally, the decisions consist of four articles, the first of which repeals the visa for strains and the following order the holder to withdraw the medicines derived from these strains. For example, the decision of September 21, 2017, regarding Boiron's request of June 10, 2014, is worded as follows: "Article 1: Visa No. 02230 granted to the Boiron laboratories is repealed concerning the strains: Solanum melongena; Sorbus domestica; etc... (10 strains); Article 2: The holder must take all necessary measures, particularly with stockholders, to cease the public distribution of the series of homeopathic medicines related to the strains mentioned in Article 1, registered under the aforementioned visa number."</w:t>
      </w:r>
    </w:p>
    <w:p>
      <w:r>
        <w:t>93. It thus appears that the ANSM, when applying the regulations concerning homeopathic products, only authorizes or refuses registrations of strains and never details or counts the medicines or SNC whose marketing becomes obsolete, these being mentioned only en bloc by the very general term "series of medicines."</w:t>
      </w:r>
    </w:p>
    <w:p>
      <w:r>
        <w:t>94. Finally, the letter from the Minister of Economy entrusts the monitoring of the homeopathic medicines market to a health agency. However, this agency indicated during the investigation that this mission exceeds the competence conferred by the public health code, namely to control the efficacy and safety of medicines, and that it is not in a position to oppose the cessation of marketing of a homeopathic medicine.</w:t>
      </w:r>
    </w:p>
    <w:p>
      <w:r>
        <w:t>95. The General Directorate of Health also indicated, during the investigation, that the ANSM "has indeed received requests for the repeal of SNC from the BOIRON laboratory and has never opposed a request for cessation of marketing" (reference 3677).</w:t>
      </w:r>
    </w:p>
    <w:p>
      <w:r>
        <w:t>96. This lack of position on the details of marketed homeopathic medicines is confirmed by the statements of the deputy director of the General Directorate of Health (GGS) in charge of these matters, who confirmed that: "The ANSM does not have the authority to oppose the cessation of marketing of a [homeopathic] medicine" (reference 3676).</w:t>
      </w:r>
    </w:p>
    <w:p>
      <w:r>
        <w:t>97. Indeed, not only has the ANSM never opposed a request for cessation of marketing of a medicine from Boiron, but according to this same interlocutor, the agency does not have the scientific criteria to do so. Its expertise indeed focuses on the safety of homeopathic products in order to order, if necessary, a withdrawal from the market, but it does not lead it to rule on the medical service rendered, in order to require the continuation of marketing of a specialty as it could do, for example, for a vaccine: "It is also not for the ANSM to take a position in favor or against a minimal therapeutic arsenal necessary for the practice of homeopathic medicine" (reference 3677).</w:t>
      </w:r>
    </w:p>
    <w:p>
      <w:r>
        <w:t>98. It is therefore not possible to replace the word "strain" in the decisions to repeal visas taken by the ANSM with the expression "unitary strain with a common name," except precisely to give it the meaning of homeopathic strain as retained by Boiron.</w:t>
      </w:r>
    </w:p>
    <w:p>
      <w:r>
        <w:t>99. It follows from all these considerations that the different paragraphs of commitment no. 1 find coherence only if the expression "unitary strain with a common name" covers an identical meaning for each of its three occurrences, a meaning that can only be that of "strain" in the homeopathic sense.</w:t>
      </w:r>
    </w:p>
    <w:p>
      <w:r>
        <w:t>On the conclusions regarding the interpretation of commitment no. 1</w:t>
      </w:r>
    </w:p>
    <w:p>
      <w:r>
        <w:t>100. In consideration of all the elements presented above, it cannot be contemplated to interpret commitment no. 1 as equating the obligation to maintain the quality of the offer with that of maintaining a list of homeopathic medicines in common names listed in the commercial nomenclature of the Boiron laboratories in 2004.</w:t>
      </w:r>
    </w:p>
    <w:p>
      <w:r>
        <w:t>101. Furthermore, regardless of the interpretation of the commitment itself, it is important to note that the process of re-registration of homeopathic strains, initiated in 2007 and nearing completion, significantly changes the nature of the obligation to maintain the quality of the offer. This modification of the economic and legal context of the concentration operation, which occurred after the date of its authorization, will make it increasingly difficult, if not impossible, to control an obligation partly based on the 1984 device, now obsolete, since the commitment was made without a time limit and no public authority has the competence to enforce the exceptions it provides.</w:t>
      </w:r>
    </w:p>
    <w:p>
      <w:r>
        <w:t>Conclusion</w:t>
      </w:r>
    </w:p>
    <w:p>
      <w:r>
        <w:t>102. It is not established that the Boiron laboratories have not complied with commitment no. 1 annexed to letter no. C 2004-114 of February 21, 2005, by which the Minister of Economy authorized the acquisition of the Dolisos company by the Boiron company in the homeopathy sector.</w:t>
      </w:r>
    </w:p>
    <w:p>
      <w:r>
        <w:t>103. There is therefore no reason to continue the procedure.</w:t>
      </w:r>
    </w:p>
    <w:p>
      <w:r>
        <w:rPr>
          <w:b/>
        </w:rPr>
        <w:t>[Pages 19–19]</w:t>
      </w:r>
    </w:p>
    <w:p>
      <w:r>
        <w:t>DECISION</w:t>
        <w:br/>
        <w:t>Article 1: The Competition Authority considers that the allegation of non-compliance with commitment no. 1 annexed to letter no. C 2004-114 of February 21, 2005, by which the Minister of Economy authorized the acquisition of the company Dolisos by the company Boiron in the homeopathy sector, is not established.</w:t>
        <w:br/>
        <w:t>Deliberated on the oral report of Mr. Barraud, rapporteur, and Mr. Etienne Chantrel, deputy general rapporteur, by Mr. Thierry Dahan, vice-president, president of the session, Ms. Pierrette Pinot and Mr. Olivier d'Ormesson, members.</w:t>
        <w:br/>
        <w:t>The session secretary, The session president</w:t>
        <w:br/>
        <w:t>Armelle Hillion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