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https://www.autoritedelaconcurrence.fr/fr/decision/relative-au-respect-des-engagements-pris-par-la-societe-randstad-dans-la-decision-du</w:t>
      </w:r>
    </w:p>
    <w:p>
      <w:r>
        <w:t>Pages translated : 30</w:t>
      </w:r>
    </w:p>
    <w:p/>
    <w:p>
      <w:r>
        <w:rPr>
          <w:b/>
        </w:rPr>
        <w:t>[Pages 1–3]</w:t>
      </w:r>
    </w:p>
    <w:p>
      <w:r>
        <w:t>FRENCH REPUBLIC</w:t>
        <w:br/>
        <w:t>Decision No. 18-D-09 of June 21, 2018</w:t>
        <w:br/>
        <w:t>regarding compliance with commitments made by the company Randstad</w:t>
        <w:br/>
        <w:t>in the decision of the Competition Council No. 09-D-05</w:t>
        <w:br/>
        <w:t>of February 2, 2009 *</w:t>
        <w:br/>
        <w:t>The Competition Authority (section III),</w:t>
        <w:br/>
        <w:t>Considering decision No. 09-D-05 of February 2, 2009, regarding practices implemented in the temporary employment sector;</w:t>
        <w:br/>
        <w:t>Considering decision No. 15-SO-05 of May 5, 2015, registered under number 15/0046 R, by which the Competition Authority initiated an ex officio examination of compliance with commitments undertaken by the company Randstad (Vediorbis) in the decision of the Competition Council No. 09-D-05 of February 2, 2009;</w:t>
        <w:br/>
        <w:t>Considering Book IV of the Commercial Code;</w:t>
        <w:br/>
        <w:t>Considering the business secrecy decisions No. 17-DSA-300 of July 24, 2017, No. 17-DSA-332 of August 14, 2017, No. 17-DSA-367 of September 4, 2017, No. 17-DSA-395 of October 2, 2017, No. 17-DSA-402 of October 5, 2017, No. 17-DSA-411 of October 12, 2017, No. 17-DSA-419 of October 17, 2017;</w:t>
        <w:br/>
        <w:t>Considering the declassification decision No. 17-DEC-518 of November 29, 2017;</w:t>
        <w:br/>
        <w:t>Considering the observations presented by the companies Groupe Randstad France SAS, Randstad SAS, Randstad Holding NV, and Randstad France SASU and the Government Commissioner;</w:t>
        <w:br/>
        <w:t>Considering the other documents in the file;</w:t>
        <w:br/>
        <w:t>The rapporteur, the deputy general rapporteur, the Government Commissioner, and the representatives of the companies Groupe Randstad France SAS, Randstad SAS, Randstad Holding NV, and Randstad France SASU, heard during the session of the Competition Authority on April 19, 2018;</w:t>
        <w:br/>
        <w:t>Adopts the following decision:</w:t>
        <w:br/>
        <w:t>* Public version</w:t>
      </w:r>
    </w:p>
    <w:p>
      <w:r>
        <w:t>Summary1</w:t>
        <w:br/>
        <w:t>By the following decision, the Competition Authority imposes jointly and severally on the companies Groupe Randstad France SAS, Randstad SAS, Randstad Holding NV, and Randstad France SASU a fine of 4.5 million euros for non-compliance with the commitments undertaken by them and made mandatory by the decision of the Competition Council No. 09-D-05 of February 2, 2009, regarding practices implemented in the temporary employment sector.</w:t>
        <w:br/>
        <w:t>By decision No. 09-D-05, the Council had sanctioned the companies Adecco, Manpower, and VediorBis for having colluded, between March 2003 and November 2004, to limit competition among themselves regarding their "key account" clients. The companies in question exchanged information - notably on the billing coefficients applied to the wages of temporary workers, on year-end discounts, or on the level of rebates to user companies from charge reductions - and even discussed the amount of their respective offers.</w:t>
        <w:br/>
        <w:t>Under decision No. 09-D-05, Groupe Randstad France (formerly known as Groupe Vedior France) and Randstad (formerly known as VediorBis) did not contest the allegations and undertook three categories of commitments:</w:t>
        <w:br/>
        <w:t>- the first were dedicated to the training and supervision of personnel;</w:t>
        <w:br/>
        <w:t>- the second concerned measures "likely to reduce market transparency";</w:t>
        <w:br/>
        <w:t>- the third aimed to ensure the effectiveness of the two previous categories of commitments (for example, through the recruitment of a competition legal officer and strengthening the role of the corporate legal director).</w:t>
        <w:br/>
        <w:t>As early as 2009, Randstad noted that the marketing of certain services known as multi-ETT tools (Temporary Employment Company), including the "e-flex" tool, was likely to create a risk of circulation and exploitation of confidential information from its competitors in the temporary employment market. Thus, Randstad, within the framework of the second category of commitments mentioned above, committed "to market e-Flex, through an independent subsidiary of Groupe Vedior France [Groupe Randstad France], Advisio Services [RSR], having its own personnel and isolated technical support."</w:t>
        <w:br/>
        <w:t>The Authority found that Randstad had not complied with this commitment [to market the "e-flex" tool through an independent subsidiary with its own personnel] by simultaneously appointing, for more than a year, the director of strategy and development of Groupe Randstad France as the director of Advisio Services.</w:t>
        <w:br/>
        <w:t>The Authority followed its consistent decision-making practice according to which non-compliance with commitments constitutes "a serious practice in itself. Such a practice is all the more serious as the commitments are made at the initiative of the parties involved who propose them." It noted that in this case, the breach occurred barely two months after the commitments came into effect and that Randstad did not immediately take into account the warning addressed to this effect by the deputy general rapporteur of the Authority.</w:t>
        <w:br/>
        <w:t>1 This summary is strictly informative. Only the reasons for the decision numbered below are authoritative.</w:t>
      </w:r>
    </w:p>
    <w:p>
      <w:r>
        <w:t>SUMMARY</w:t>
        <w:br/>
        <w:t>I. Findings....................................................................................... 4</w:t>
        <w:br/>
        <w:t>A. REMINDER OF THE PROCEDURE ...................................................................................................... 4</w:t>
        <w:br/>
        <w:t>1. DECISION NO. 09-D-05 OF FEBRUARY 2, 2009.......................................................................4</w:t>
        <w:br/>
        <w:t>2. THE PRESENT PROCEDURE ....................................................................................................4</w:t>
        <w:br/>
        <w:t>B. THE SECTOR AND THE COMPANY CONCERNED ...................................................................... 5</w:t>
        <w:br/>
        <w:t>C. THE COMMITMENTS MADE BY RANDSTAD IN DECISION NO. 09-D-05 OF</w:t>
        <w:br/>
        <w:t>FEBRUARY 2, 2009 ......................................................................................................................................... 6</w:t>
        <w:br/>
        <w:t>D. THE PRACTICES OBSERVED .................................................................................................. 8</w:t>
        <w:br/>
        <w:t>1. THE APPOINTMENT AND SIMULTANEOUS MANAGEMENT OF THE ADVISIO SERVICES</w:t>
        <w:br/>
        <w:t>SUBSIDIARY (RSR) BY A DIRECTOR OF THE RANDSTAD GROUP ..................................................8</w:t>
        <w:br/>
        <w:t>2. THE ROLE OF THE DIRECTOR OF ADVISIO SERVICES (RSR) IN THE MANAGEMENT OF THE SUBSIDIARY 9</w:t>
        <w:br/>
        <w:t>3. THE PARTICULAR BUSINESS CONTEXT IN WHICH MR. X...'S DUAL MEMBERSHIP OCCURRED .....................................................................................................14</w:t>
        <w:br/>
        <w:t>a) The development of MSP services after 2009 ............................................ 14</w:t>
        <w:br/>
        <w:t>b) The mobility of executives from Advisio Services to Randstad .............................. 18</w:t>
        <w:br/>
        <w:t>c) The existence of cross-selling of services offered by the subsidiaries of GRF ....................................................................................................... 18</w:t>
        <w:br/>
        <w:t>E. CONCLUSION OF THE REPORT ...................................................................................................... 20</w:t>
        <w:br/>
        <w:t>II. Discussion ..................................................................................... 21</w:t>
        <w:br/>
        <w:t>A. REMINDER OF THE PRINCIPLES APPLICABLE TO COMPLIANCE WITH</w:t>
        <w:br/>
        <w:t>COMMITMENTS ...................................................................................................................................... 21</w:t>
        <w:br/>
        <w:t>B. ASSESSMENT IN THIS CASE .................................................................................................. 22</w:t>
        <w:br/>
        <w:t>1. ON THE PERIOD FROM APRIL TO DECEMBER 2009 ....................................................................23</w:t>
        <w:br/>
        <w:t>2. ON THE PERIOD FROM DECEMBER 2009 TO MARCH 2010 ..........................................................23</w:t>
        <w:br/>
        <w:t>3. ON THE PERIOD FROM MARCH 2010 TO THE END OF APRIL 2010 ............................................................24</w:t>
        <w:br/>
        <w:t>4. CONCLUSION ON COMPLIANCE WITH THE E-FLEX COMMITMENT .............................................25</w:t>
        <w:br/>
        <w:t>C. ON ATTRIBUTION ......................................................................................................................... 25</w:t>
        <w:br/>
        <w:t>1. ON ATTRIBUTION IN THE EVENT OF TRANSFORMATION OF THE COMPANY .........................25</w:t>
        <w:br/>
        <w:t>2. ON ATTRIBUTION WITHIN A GROUP OF COMPANIES ..............................................................26</w:t>
        <w:br/>
        <w:t>D. ON THE SANCTION ....................................................................................................................... 27</w:t>
        <w:br/>
        <w:t>1. ON THE LEGAL MAXIMUM OF THE SANCTION .......................................................................28</w:t>
        <w:br/>
        <w:t>2. ON THE GRAVITY OF THE BREACHES .......................................................................................28</w:t>
        <w:br/>
        <w:t>3. ON THE IMPACT OF THE OBSERVED BREACHES ON THE COMPETITION THAT THE</w:t>
        <w:br/>
        <w:t>COMMITMENTS AIMED TO PRESERVE ................................................................................29</w:t>
        <w:br/>
        <w:t>4. ON THE AMOUNT OF THE SANCTION....................................................................................29</w:t>
        <w:br/>
        <w:t>DECISION ......................................................................................................................... 30</w:t>
      </w:r>
    </w:p>
    <w:p>
      <w:r>
        <w:rPr>
          <w:b/>
        </w:rPr>
        <w:t>[Pages 4–6]</w:t>
      </w:r>
    </w:p>
    <w:p>
      <w:r>
        <w:t xml:space="preserve">I. The Findings  </w:t>
        <w:br/>
        <w:t xml:space="preserve">A. REMINDER OF THE PROCEDURE  </w:t>
        <w:br/>
        <w:t xml:space="preserve">1. DECISION NO. 09-D-05 OF FEBRUARY 2, 2009  </w:t>
        <w:br/>
        <w:t xml:space="preserve">1. By decision No. 09-D-05 of February 2, 2009, relating to practices implemented in the temporary employment sector, the Competition Council sanctioned the companies Adecco, Manpower, and VediorBis for having colluded, between March 2003 and November 2004, to limit competition among themselves regarding their "large account" clients.  </w:t>
        <w:br/>
        <w:t xml:space="preserve">2. The companies involved frequently coordinated on various elements of their commercial and pricing policies towards their "large account" clients. Depending on the case, they exchanged information - for example, on the billing coefficients applied to the wages of temporary workers, on year-end discounts, or on the level of rebates to user companies from charge reductions - or even discussed the amount of their respective offers, with the aim of mitigating price competition.  </w:t>
        <w:br/>
        <w:t xml:space="preserve">3. The companies Adecco France and Adia (companies of the Adecco group) on one hand, and Groupe Vedior France and VediorBis (companies of the Vedior group) on the other hand, did not contest the allegations and undertook commitments for the future aimed at improving the competitive functioning of the market, thereby benefiting from a reduction in their sanction. In contrast, the companies of the Manpower group contested the notified allegations.  </w:t>
        <w:br/>
        <w:t xml:space="preserve">4. At the end of the said decision, Groupe Randstad France (formerly known as Groupe Vedior France) and Randstad (formerly known as VediorBis) undertook commitments that can be categorized into three groups:  </w:t>
        <w:br/>
        <w:t xml:space="preserve">- the first dedicated to the training and supervision of personnel;  </w:t>
        <w:br/>
        <w:t xml:space="preserve">- the second concerning measures "likely to reduce market transparency";  </w:t>
        <w:br/>
        <w:t xml:space="preserve">- the third containing measures aimed at ensuring the effectiveness of the two previous categories (for example, through the recruitment of a legal competition officer and strengthening the role of the corporate legal director).  </w:t>
        <w:br/>
        <w:t xml:space="preserve">5. In return for the commitments made, Randstad benefited from a reduction in the amount of the sanction incurred of €6.55 million, or 26.46%.  </w:t>
        <w:br/>
        <w:t xml:space="preserve">6. The appeals filed against this decision were rejected (ruling of the Paris Court of Appeal of January 26, 2010, Adecco France SAS e.a., No. 2009/03532 and ruling of the Court of Cassation of March 29, 2011, Manpower France holding e.a., Nos. 10-12.913 and 10-13.686).  </w:t>
        <w:br/>
        <w:t xml:space="preserve">2. THE PRESENT PROCEDURE  </w:t>
        <w:br/>
        <w:t xml:space="preserve">7. By decision No. 15-SO-05 of May 5, 2015, registered under number 15/0046 R, the Competition Authority (hereinafter "the Authority") initiated an ex officio examination of compliance with the commitments undertaken by Randstad (Vediorbis) [in the decision of the Competition Council No. 09-D-05 of February 2, 2009].  </w:t>
        <w:br/>
        <w:t xml:space="preserve">8. This proceeding follows investigations conducted in 2011 by the investigative services on the activities of the subsidiaries of large temporary employment groups during which operations of visits and seizures took place, notably in the premises of Randstad France and several companies of the Randstad group, on July 10 and 11, 2013.  </w:t>
        <w:br/>
        <w:t xml:space="preserve">9. In view of the elements collected and on the proposal of the general rapporteur, the board of the Authority initiated two ex officio proceedings:  </w:t>
        <w:br/>
        <w:t xml:space="preserve">- a proceeding concerning practices implemented in the temporary employment sector, registered under No. 15/0045 F;  </w:t>
        <w:br/>
        <w:t xml:space="preserve">- another proceeding concerning the examination of compliance with the commitments undertaken by the company Randstad [within the framework of decision No. 09-D-05 of February 2, 2009, relating to practices implemented in the temporary employment sector] registered under No. 15/0046 R.  </w:t>
        <w:br/>
        <w:t xml:space="preserve">10. The present decision rules on the proceeding registered under No. 15/0046 R relating to compliance with the commitments undertaken by the company Randstad.  </w:t>
        <w:br/>
        <w:t xml:space="preserve">11. The investigative services focused particularly on compliance with the second category of commitments undertaken by Randstad under the aforementioned decision No. 09-D-05, aimed at reducing market transparency.  </w:t>
        <w:br/>
        <w:t xml:space="preserve">12. In accordance with the provisions of Article R. 464-9 of the Commercial Code, a report was notified to the companies Groupe Randstad France SAS, Randstad SAS, Randstad Holding NV, Randstad France SASU, and to the Government Commissioner on December 5, 2017.  </w:t>
        <w:br/>
        <w:t xml:space="preserve">B. THE SECTOR AND THE COMPANY CONCERNED  </w:t>
        <w:br/>
        <w:t xml:space="preserve">13. As indicated in the aforementioned decision No. 09-D-05, temporary or interim work allows employers to resort, for temporary missions whose nature and conditions are exhaustively stated in the Labor Code, to workers whom they do not employ directly, but who are employed by specialized companies known as "temporary employment agencies." The provision of temporary work thus constitutes a tripartite relationship involving the user company (hereinafter "UC") that expresses a temporary need for personnel, the temporary employment agency (hereinafter "TEA") that recruits a temporary worker by paying them to perform a temporary mission in the user company, and the temporary worker themselves (decision No. 09-D-05, paragraph 3).  </w:t>
        <w:br/>
        <w:t xml:space="preserve">14. In May 2008, the Randstad and Vedior groups merged globally following the success of the public offer for purchase and exchange. After a series of capital reorganizations carried out by the Vedior and Randstad entities, in March 2009, VediorBis and Randstad merged to create Groupe Randstad France (hereinafter "Randstad group"). The companies Groupe Vedior France and VediorBis are now referred to as "Groupe Randstad France" and "Randstad," respectively.  </w:t>
        <w:br/>
        <w:t xml:space="preserve">15. The Randstad group has five main subsidiaries in France whose activities are dedicated to the placement of temporary workers: Randstad, Select TT, JBM Bureau Médical, Atoll, and SAM "Secretariat and Services."  </w:t>
        <w:br/>
        <w:t xml:space="preserve">16. The Randstad group also has a subsidiary responsible for the outsourced management of temporary work, the company Randstad Sourceright.  </w:t>
        <w:br/>
        <w:t xml:space="preserve">17. Initially named Adivisio Services, it changed its corporate name for the first time on March 21, 2011, to become Randstad Management Services (or "RMS"), and then a second time on August 28, 2012, to become Randstad Sourceright (or "RSR").  </w:t>
        <w:br/>
        <w:t xml:space="preserve">18. RSR is 100% owned by Groupe Randstad France, which is itself 100% owned by Randstad France, this chain of ownership remaining unchanged between 2009 and 2016 (reference 6666).  </w:t>
        <w:br/>
        <w:t xml:space="preserve">19. Until April 2014, RSR had its offices at the same address as its parent company, Groupe Randstad France, and other subsidiaries of the group, notably the TEA Randstad SAS.  </w:t>
        <w:br/>
        <w:t xml:space="preserve">20. The RSR subsidiary acts as an intermediary between "large account" clients (the user companies) and the TEAs. It offers outsourced management services for multi-TEA temporary workers placed with large account clients through the "e-flex" tool, an online software system based on Internet-type technology, but also through the so-called "Managed Services Provider" (hereinafter "MSP") activity, which developed after 2009.  </w:t>
        <w:br/>
        <w:t xml:space="preserve">21. As part of its MSP activity, RSR may be tasked as an intermediary mandated by the client to manage:  </w:t>
        <w:br/>
        <w:t xml:space="preserve">- "the distribution of orders to the different TEAs already referenced by the client after verifying the presence of the reasons for recourse and the waiting periods. RSR generally distributes orders among the different TEAs based on the allocation key resulting from the volumes negotiated in advance between the client and each TEA, it being specified that the MSP is aware of this through the client or the VMS in which it is configured;  </w:t>
        <w:br/>
        <w:t xml:space="preserve">- the receipt of CVs sent by the TEAs and the forwarding to the client so that the latter can select the temporary worker(s);  </w:t>
        <w:br/>
        <w:t xml:space="preserve">- the communication of the necessary administrative documents (and notably medical visits, certifications, and residence permits);  </w:t>
        <w:br/>
        <w:t xml:space="preserve">- the content of the placement contracts (and notably the presence of the criteria agreed upon between the TEA and the Client such as the contract period, the amount of remuneration, the qualification of the candidate, etc.), the contract being signed ultimately by the client in all cases;  </w:t>
        <w:br/>
        <w:t xml:space="preserve">- the integration of temporary workers" (reference 6668);  </w:t>
        <w:br/>
        <w:t xml:space="preserve">- the management and monitoring of the TEAs: RSR "may thus be entrusted with the mission of controlling: the number of orders provided against the total number of orders received by the TEAs; the number of orders provided on time against the number of orders that remain to be provided; the number of placement contracts integrated into the VMS by the TEAs on time" (references 6668 and 6669);  </w:t>
        <w:br/>
        <w:t xml:space="preserve">- the control of hours and invoices (references 6668 and 6669).  </w:t>
        <w:br/>
        <w:t xml:space="preserve">22. The services offered by RSR to "large account" clients involve access to confidential information from competing TEAs. Thus, RSR is aware of the volumes of FTE (Full-Time Equivalent) achieved, the number of temporary workers placed, the market shares achieved (in volume and value), and the multiplier coefficients applied by each TEA to a given client.  </w:t>
        <w:br/>
        <w:t xml:space="preserve">C. THE COMMITMENTS UNDERTAKEN BY RANDSTAD IN DECISION NO. 09-D-05 OF FEBRUARY 2, 2009  </w:t>
        <w:br/>
        <w:t>23. On February 2, 2009, the Council accepted and made mandatory the commitments proposed by the Randstad group, which can be categorized into three groups:</w:t>
      </w:r>
    </w:p>
    <w:p>
      <w:r>
        <w:rPr>
          <w:b/>
        </w:rPr>
        <w:t>[Pages 7–9]</w:t>
      </w:r>
    </w:p>
    <w:p>
      <w:r>
        <w:t>- the first dedicated to the training and supervision of staff;</w:t>
        <w:br/>
        <w:t>- the second concerning measures "likely to reduce market transparency";</w:t>
        <w:br/>
        <w:t>- the third containing measures aimed at ensuring the effectiveness of the two previous categories (for example, through the recruitment of a legal competition officer and the strengthening of the role of the corporate legal director).</w:t>
      </w:r>
    </w:p>
    <w:p>
      <w:r>
        <w:t>24. The commitments of the second category are worded as follows:</w:t>
        <w:br/>
        <w:t>"The Vedior group markets in France tools that allow user companies to manage their temporary worker flows from a multi-ETT perspective. These administrative management services, based on IT tools, enable user companies to centralize the management of contracts, hours, and invoices for all their temporary workers. The existence of these tools is a considerable advantage for the proper functioning of the temporary labor market as they facilitate, for clients, the transition from one ETT to another at any time or simultaneous work with several ETTs. These tools are therefore pro-competitive. However, in seeking all the problems that may potentially exist in the market and that could be resolved to ensure optimal functioning for the authorities, Groupe Vedior France and VediorBis realized that the advantages of these tools could coexist with disadvantages. Indeed, these tools can only function if their electronic memory contains numerous pieces of information relating to the ETTs concerned. Consequently, the company that markets these tools (in this case, the Vedior group) ipso facto has information such as the contractual conditions of its competitors or the business volumes between its competitors and its clients. There is therefore a risk, at least theoretical, that these tools contribute to increasing market transparency. Thus, their pro-competitive advantages could, from a certain point of view, be negatively offset by this increase in transparency. Groupe Vedior France and VediorBis therefore commit to remedy the theoretical risks of information circulation that may arise from the "multi-ETT administrative management services" they market under the names Flex Manager and e-flex to user companies. As indicated below, Groupe Vedior France and VediorBis offer two administrative management systems: a software system installed directly at the clients' premises (Flex Manager) and an online software system based on Internet-type technology (e-flex).</w:t>
      </w:r>
    </w:p>
    <w:p>
      <w:r>
        <w:t>Regarding Flex Manager, there is a significantly greater theoretical risk of the circulation of sensitive information since, in the event of maintenance issues, user companies call upon configuration technicians who come on-site and are likely, through user access codes, to have direct access to confidential data concerning competing ETTs. Such access is also necessary for them when technical problems arise precisely from difficulties in configuring data from competing ETTs. For obvious geographical reasons, these personnel are located at a relatively local level, which makes it difficult to maintain constant control over the confidentiality of the information to which they might have access.</w:t>
      </w:r>
    </w:p>
    <w:p>
      <w:r>
        <w:t>Groupe Vedior France and VediorBis therefore commit to providing the following first guarantee:</w:t>
        <w:br/>
        <w:t>- Withdraw Flex-Manager from marketing in favor of e-Flex: the cessation of marketing and the physical uninstallation of Flex Manager at user clients will take place no later than June 30, 2008. For an equivalent service, clients will now be invited to use the e-flex system. Indeed, e-flex, being based on Internet technology, requires no installation at the client’s premises and no visit from technicians. Clients and competing ETTs are provided with an access code allowing each to confidentially enter their data. The ETTs only have access, using their code, to their own data. Furthermore, the system is managed centrally, which significantly facilitates the establishment of robust security rules. However, the following risks have been identified regarding e-flex: it is still necessary to circulate information relating to competing ETTs to the system and to retain it there. There remain theoretical risks that this information may come to the knowledge of the sales personnel of VediorBis.</w:t>
      </w:r>
    </w:p>
    <w:p>
      <w:r>
        <w:t>To avoid any risk, Groupe Vedior France and VediorBis commit to:</w:t>
        <w:br/>
        <w:t>- Market e-Flex through an independent subsidiary of Groupe Vedior France, Advisio Services, which has its own personnel and isolated technical support.</w:t>
        <w:br/>
        <w:t>- Have all technicians of Advisio who may intervene on the database in case of potential malfunctions, and thus have access to sensitive information, as well as the technicians of the IT Services Department of Groupe Vedior France who may be in contact with them for the maintenance of these systems, sign a written confidentiality commitment. This commitment prohibits them from disclosing the information thus accessible to any personnel of VediorBis or generally to anyone with commercial responsibilities, regardless of their rank. This declaration will be provided in duplicate, one copy being kept by its recipient, the second to be duly dated and signed and returned to the Human Resources Department, where it will be kept.</w:t>
        <w:br/>
        <w:t>- Furthermore, market transparency may also result from existing leaks at the level of equivalent tools marketed by competing ETTs. Groupe Vedior France and VediorBis commit to making their best efforts to verify that the competing multi-ETT tools into which they may be led to introduce commercial data have, in one way or another, security rules offering the same level of protection as e-flex."</w:t>
      </w:r>
    </w:p>
    <w:p>
      <w:r>
        <w:t>D. OBSERVED PRACTICES</w:t>
        <w:br/>
        <w:t>1. THE APPOINTMENT AND SIMULTANEOUS MANAGEMENT OF THE SUBSIDIARY ADVISIO SERVICES (RSR) BY A DIRECTOR OF THE RANDSTAD GROUP</w:t>
        <w:br/>
        <w:t>25. In the context of the response to the questionnaire from the investigation services dated July 7, 2015, Randstad indicated that it had appointed Mr. X... as director of Advisio Services, between April 1, 2009, and April 30, 2010, who was also the director of strategy and development of Groupe Randstad France (reference 6667). Mr. X... thus held both positions simultaneously for more than a year.</w:t>
      </w:r>
    </w:p>
    <w:p>
      <w:r>
        <w:t>26. Several months after this appointment, by letter dated December 22, 2009, the board of Randstad informed the President of the Competition Authority of the intention of Groupe Randstad France (hereinafter "GRF") to implement measures likely to impact one of the commitments made in 2009:</w:t>
        <w:br/>
        <w:t>"Randstad plans to change the hosting for the e-flex system [...]. Due to the increase in volumes and levels of customer service, and to benefit from more secure shared infrastructures, the hosting would be entrusted to Randstad's main host (Bull), and the management of service contracts would remain assigned to the IT Services Department (DSI) of Groupe Randstad France (GRF), in strict compliance with the principles of separation of databases. Apparent contradiction with the letter of commitments: The proposed organization thus has some differences compared to what is described in the commitments. For the latter, the DSI of GRF is indeed supposed to intervene only for "the maintenance" of the systems and not for the permanent management of the databases" (references 4008 and 4009).</w:t>
        <w:br/>
        <w:t>"It is envisaged that the general director of Advisio will be an employee of both this company and GRF (Groupe Randstad France). He will exercise his function as general director of Advisio through a delegation of power. Apparent contradiction with the letter of commitments: This hypothesis raises the question of its compatibility with the obligation of independence of Advisio and especially with the obligation for Advisio to have its own personnel [...]. The candidate considered by GRF is currently its director of strategy and development, so GRF would like him to remain so after his appointment as general director of Advisio."</w:t>
      </w:r>
    </w:p>
    <w:p>
      <w:r>
        <w:t>27. By letter dated March 9, 2010, the deputy general rapporteur of the Competition Authority notably pointed out the incompatibility of the dual affiliation of the general director of Advisio with the commitments made in 2009 " (…) Regarding the "dual role" that the general director of Advisio would have, the job description corresponding to his role as director of strategy and development of the organization of Groupe Randstad France indicates that he is intended to intervene at the national level across the entire group and notably mentions the tasks of contributing to the development of the commercial strategies to be implemented and of overseeing the bodies responsible for their operational implementation, as well as ensuring "the benchmark", which seems incompatible with the objective as it clearly emerges from the commitment to establish within the group a strict separation between the commercial functions related to the provision of temporary personnel and the functions of marketing and managing multi-ETT administrative tools offered to user companies" (references 4017 and 4018).</w:t>
      </w:r>
    </w:p>
    <w:p>
      <w:r>
        <w:t>2. THE ROLE OF THE DIRECTOR OF ADVISIO SERVICES (RSR) IN THE MANAGEMENT OF THE SUBSIDIARY</w:t>
        <w:br/>
        <w:t>28. During the period from April 1, 2009, to March 9, 2010, the date of the response from the deputy general rapporteur of the Competition Authority, it is noted that Mr. X..., director of strategy and development of Groupe Randstad France, took an active part in the commercial decisions of the subsidiary Advisio, as evidenced by the table below:</w:t>
      </w:r>
    </w:p>
    <w:p>
      <w:r>
        <w:rPr>
          <w:b/>
        </w:rPr>
        <w:t>[Pages 10–12]</w:t>
      </w:r>
    </w:p>
    <w:p>
      <w:r>
        <w:t>Elements Content Reference</w:t>
        <w:br/>
        <w:t>Email exchanges - On June 10, 2009: "Hello Z..., A client of the Unique Counter of Advisio, [...], is requesting an impromptu visit to our premises with an audit firm. This request, made by phone, seems suspicious to me. I have no objection to a client, or even a duly mandated firm, examining our service provision, but I am somewhat less inclined to allow an "unidentified" third party to come into our premises. Despite our requests, the client has, to date, made no written request and moreover has not communicated the name of the service provider or the reason for the visit. The appointment being set for 07/02/09, I wish to send an email to this client, asking them to provide me with the precise reasons for their visit, as well as a letter of engagement mentioning the identity and the missions of this firm. This will allow me to see that it is not, in particular, a competitor. X..., Director of Advisio Services"</w:t>
        <w:br/>
        <w:t>- On June 17, 2009: "Thank you for your responsiveness and your proposal. Here is the version that I have revised with B.... I thank you in advance for your proofreading before I send it by registered mail."</w:t>
        <w:br/>
        <w:t>Email of July 17, 2009 Mr. X... takes a position regarding a client's request [...] concerning the services offered by Advisio: "[...]. For all these reasons, and to avoid any misunderstanding or inconsistency, I wish that these questions be addressed to clients only by B..., or by myself in his absence. In this case, I will contact A... again next week."</w:t>
        <w:br/>
        <w:t>Email of July 20, 2009 from Mr. X... in response to the request of a client of Advisio requiring payment for unpaid hours dating from 2006 to 2008 and therefore archived. His email is in response to the email from the director of the Public Sector of GRF who writes: "I have seen the email exchanges, notably C...'s request to D..., but has B... been looped in? He is the one who arbitrates the discrepancies between hours worked and hours paid, and any adjustments, knowing that the Unique Counter is based on the HR received. Otherwise, I am intentionally copying X..., the new director of Advisio Services since early March."</w:t>
        <w:br/>
        <w:t>Email of July 23, 2009 regarding the update of the e-flex application at the client [...]. Attached to this email is a client file established by Advisio containing an extraction of e-flex data with details on the applicable coefficients by [...] as of June 26, 2009, by category of temporary workers (p. 28 and 29), the list of salaries, the salary codes and their amounts (p. 30 and 31), the list of ongoing contracts with the coefficient codes (p. 33 and following).</w:t>
        <w:br/>
        <w:t>Email exchanges between Mr. X... and H... in July 2009 regarding the implementation of interoperability between [...] and Advisio.</w:t>
        <w:br/>
        <w:t>Email of August 18, 2009 from B... to Mr. X... regarding the turnover and billing of Advisio concerning major account clients.</w:t>
        <w:br/>
        <w:t>Email of September 9, 2009 Mr. X... forwards to Ms. Z... for proofreading the service contract of Advisio with the client [...]. The initial sending was made by B... (the head of the Unique Counter Advisio-Services) to Mr. X... requesting validation of this legal contract of GRF and a review by the legal department. Annex B of the draft contract includes the "Service Level Agreement" which details the services provided by Advisio, notably the management and control of billing, the creation of dashboards, and the realization of monthly reporting based on purchase orders, timesheets, invoices issued by each ETT in order to present a comprehensive and detailed analysis.</w:t>
        <w:br/>
        <w:t>Email of October 9, 2009 is related to the future attachment of G... to I... (working within the Commercial Coordination Department of GRF) at Advisio.</w:t>
        <w:br/>
        <w:t>Email of October 14, 2009 from Mr. X... to J... and I... intervenes to defend the reputation of Advisio: "Hello, upon reviewing the previous email exchanges, I cannot accept such remarks regarding Advisio, which are disparaging to the quality of its service, especially since L... has never worked with Advisio. For your information and before going back into detail if necessary, Advisio is not mandated to do reporting for [...]. I wish for the three of us to discuss the mode of operation with Advisio. I propose that we talk about it again. Two dates to propose: Tuesday the 20th at 11 a.m., or Friday morning before the Codir. Please confirm."</w:t>
        <w:br/>
        <w:t>Presentation of November 2, 2009 by Mr. X... of the new offer of Advisio within the COCOCOM of GRF: "[...]".</w:t>
        <w:br/>
        <w:t>Email of November 4, 2009 from Mr. X... to B... and G... forwarding a client's call for tenders [...] asking them to review it and let him know if Advisio is concerned.</w:t>
        <w:br/>
        <w:t>Service contract between Advisio and the client [...] dated February 1, 2010.</w:t>
      </w:r>
    </w:p>
    <w:p>
      <w:r>
        <w:t>Email exchanges on February 2, 2010 relate to the management of Advisio and the financial motivation of sales representatives.</w:t>
        <w:br/>
        <w:t>995-996</w:t>
        <w:br/>
        <w:t>between Mr. X..., G..., B... and I...</w:t>
        <w:br/>
        <w:t xml:space="preserve">Email exchanges on March 8, 2010 relate to the marketing of the RMS offer to clients [...]. </w:t>
        <w:br/>
        <w:t>Mr. X..., G..., and the sales representatives of Randstad (K... and A...)</w:t>
        <w:br/>
        <w:t>29. Following the response from the deputy general rapporteur of the Authority on March 9, 2010, indicating that Mr. X...'s "dual role" "seems incompatible with the objective" targeted by the commitment, Mr. X... continued to simultaneously perform his duties within Advisio and Randstad, at least until the appointment of a new director of Advisio on May 1, 2010, as evidenced by the table below:</w:t>
        <w:br/>
        <w:t>Elements Content Reference</w:t>
        <w:br/>
        <w:t>Email exchanges on April 8, 2010 between Mr. Y... and Mr. X...: "Our CODIR has just ended with quite fruitful exchanges. I took note of a good shopping list that I wish to discuss with you on 04/13 (I hope our meeting is still on...). I took the opportunity to meet E... and I handed him the contract!!! For the next CODIR, we are all free on 05/12 and 05/18, are you available on one of these dates?????".</w:t>
        <w:br/>
        <w:t>Mr. X... replies: "I am pleased to see that things went well. May 18 is still available in my agenda. I also confirm our meeting on Tuesday morning."</w:t>
        <w:br/>
        <w:t>Agenda of Mr. Y... Mr. X... participated in the CODIR of Advisio on April 14, 2010.</w:t>
        <w:br/>
        <w:t>Email of April 19, 2010 from G... to Mr. Y... and Mr. X... provides an update on Advisio's activity and poses a question to Mr. X...: "X..., In this context, we had briefly discussed around [...] one day, and if the latter was one of our suppliers, do you think they could give us some inputs on our approach to outsourcing business processes (process, project methodology...). [...]".</w:t>
        <w:br/>
        <w:t>Email exchanges on April 19, 2010 between Mr. X... and B... regarding the client [...]: "Why is there so much difficulty? And why will Randstad receive so few orders?".</w:t>
        <w:br/>
        <w:t>B... replies: "And to answer the question of why Randstad will not have the majority of the orders [...]".</w:t>
        <w:br/>
        <w:t>Email of April 28, 2010 was sent by the client [...] to Mr. X... in his capacity as General Director of Advisio.</w:t>
        <w:br/>
        <w:t>Email exchanges on May 20 and 21, 2010 G... writes to Mr. X... and Mr. Y...: "X..., Y..., As mentioned by email, I proposed to M... the possibility for Advisio to conduct an audit of Randstad's recruitment processes."</w:t>
      </w:r>
    </w:p>
    <w:p>
      <w:r>
        <w:rPr>
          <w:b/>
        </w:rPr>
        <w:t>[Pages 13–15]</w:t>
      </w:r>
    </w:p>
    <w:p>
      <w:r>
        <w:t>between G... and Mr. X... and Mr. Y...</w:t>
        <w:br/>
        <w:t>Agenda of Mr. Y... Mr. X... attended a meeting on May 20, 2010, with G..., Mr. Y..., and N... (from RMS International) regarding RMS (formerly known as RSR). 1206-1207</w:t>
      </w:r>
    </w:p>
    <w:p>
      <w:r>
        <w:t>Email of May 20 O... invites Mr. X... and Mr. Y... to set the annual objectives for 2010 of O..., P..., head of development at Advisio. Deputy General Manager, in charge of the Experts &amp; Professionals branch Randstad to Mr. X... and Mr. Y...</w:t>
      </w:r>
    </w:p>
    <w:p>
      <w:r>
        <w:t>Email of May 24 Mr. Y... sends Mr. X... the documentation related to the activity of Advisio for the upcoming CODIR. These documents include: the list of Advisio's clients ([…]); the service offer (remote or on-site); the level of commitment with each client; the potential of each client in terms of revenue; the stakes for Randstad for each client ("[…]"); Presentation of the services offered by Advisio – outsourced management multi-ETT and a presentation of the "access to PDF invoices via […]". 103-104, 106-110</w:t>
      </w:r>
    </w:p>
    <w:p>
      <w:r>
        <w:t>Email of May 24 This email relates to the commercial strategy towards client […] and the installation of Advisio at this client. Mr. X... (Randstad), B... (Advisio), R… and S… (Randstad) with Mr. Y... (Advisio) and T... (Randstad) in copy. 1354-1355</w:t>
      </w:r>
    </w:p>
    <w:p>
      <w:r>
        <w:t>Email of May 25 Mr. X... sends to U... and Mr. Y... the presentation documents for the CODIR of Advisio's activity for May 2010 containing information related to the services offered by Advisio; an indication of interim expenses for each client; the revenue billed by Advisio and the "business review of clients" with Advisio's commercial objectives related to market shares and revenue per client. 898, 901-905</w:t>
      </w:r>
    </w:p>
    <w:p>
      <w:r>
        <w:t>Email of May 27 The email relates to the "reorganization of the portfolios of B... to P..., account managers at Advisio." 1205 Mr. Y... and Mr. X... in copy.</w:t>
      </w:r>
    </w:p>
    <w:p>
      <w:r>
        <w:t>Mr. Y... asks Mr. X...: "The next CODIR is on 15/06, do you wish to attend????" who replies: "I am generally available until 3 PM. But I do not want to interfere in your affairs!".</w:t>
      </w:r>
    </w:p>
    <w:p>
      <w:r>
        <w:t>Mr. X... and Mr. Y... attended this meeting together with Randstad's sales representatives during which Advisio's activity was discussed. […] Report of COCOGROUPE of June 2, 2010 2545-2546</w:t>
      </w:r>
    </w:p>
    <w:p>
      <w:r>
        <w:t>Mr. X... requests the deletion of his Advisio email account due to the evolution of his "responsibilities within the group that no longer cover Advisio Services." Email of June 7, 2010 from Mr. X... 1807</w:t>
      </w:r>
    </w:p>
    <w:p>
      <w:r>
        <w:t>The agenda provides for the participation of Mr. X..., Mr. Y..., V..., G..., P..., W..., and E.... There is a point on Advisio's activity: […] 1362-1363</w:t>
      </w:r>
    </w:p>
    <w:p>
      <w:r>
        <w:t>Email exchanges The exchanges concern the adaptation of the RMS service offer to the French market. Mid-June 2010 between N... (RMS International), Mr. X..., Mr. Y..., and G... 198-199</w:t>
      </w:r>
    </w:p>
    <w:p>
      <w:r>
        <w:t>G... provides an update on the progress of discussions with Mr. Y... and Mr. X... regarding the adaptation of the RMS offer to the French market. Draft email of July 7, 2010 from G... 2212-2215</w:t>
      </w:r>
    </w:p>
    <w:p>
      <w:r>
        <w:t>G... sends Mr. X... and Mr. Y... a presentation on the strategic development and positioning of Advisio. Email of July 9, 2010 from G... 2405-2406</w:t>
      </w:r>
    </w:p>
    <w:p>
      <w:r>
        <w:t>Email of October 8 The email relates to the adaptation of the Managed Services offer for France. […] 909, 926, 934-935</w:t>
      </w:r>
    </w:p>
    <w:p>
      <w:r>
        <w:t>3. THE PARTICULAR BUSINESS CONTEXT IN WHICH MR. X...'S DUAL MEMBERSHIP OCCURRED</w:t>
        <w:br/>
        <w:t>a) The development of MSP services after 2009</w:t>
        <w:br/>
        <w:t>30. It appears from the elements of the file that beyond the e-flex tool, Randstad developed after 2009 outsourced management services, referred to as "MSP services," which provide access to a volume and fine granularity of confidential information from competing ETTs.</w:t>
      </w:r>
    </w:p>
    <w:p>
      <w:r>
        <w:t>31. Thus, RSR became aware of the volumes of FTEs achieved, the number of temporary workers placed, the market shares achieved (in volume and value), and the multiplier coefficients applied by each ETT to a given client.</w:t>
      </w:r>
    </w:p>
    <w:p>
      <w:r>
        <w:t>32. Firstly, several annual activity reports prepared by RSR for its various clients, presented in the table below, attest to this:</w:t>
        <w:br/>
        <w:t>Elements Content Reference</w:t>
        <w:br/>
        <w:t>The report contains the market shares and revenue of ETTs – Randstad, […] - before and after the renegotiation of the framework agreement with this client. Report 2010 […] 3460-3463</w:t>
      </w:r>
    </w:p>
    <w:p>
      <w:r>
        <w:t>The report contains information on the distribution of market shares between Randstad and […] month by month, the revenue per month, and the monthly market shares by ETT. Report 2011 […] 3480-3481</w:t>
      </w:r>
    </w:p>
    <w:p>
      <w:r>
        <w:t>The report contains information by ETT ([...]) and by client establishment ([…]) on revenue, market shares on revenue, hours, and market shares based on hours. Report 2011 […] 3690-3691</w:t>
      </w:r>
    </w:p>
    <w:p>
      <w:r>
        <w:t>The report contains information on the distribution of contracts between Randstad […] month by month and the monthly market shares. Report 2012 […] 3483-3484</w:t>
      </w:r>
    </w:p>
    <w:p>
      <w:r>
        <w:t>Summary table on Summary table for each client site […] activity in 2012 and by ETT of billed amounts, number of hours, number of temporary workers, and FTEs. 3841-3855</w:t>
      </w:r>
    </w:p>
    <w:p>
      <w:r>
        <w:t>The table contains information on the date of order receipt, the placement ETT, the identity of the temporary worker, the start and end date of the mission, the qualification, the salary scale, the hourly rate, the coefficient applicable by the ETT, the revenue, and the market shares of ETTs ([…], Randstad, [...]); cross-referencing in a separate tab of delegation and management coefficients of ETTs by qualification. Activity tracking table 2011-2012 452-488</w:t>
      </w:r>
    </w:p>
    <w:p>
      <w:r>
        <w:t>Annual report 2013 […] The report contains details on the amounts billed by Randstad and […] by job category and total for each month of the year. 3865-3870</w:t>
      </w:r>
    </w:p>
    <w:p>
      <w:r>
        <w:t>33. Secondly, the monthly activity tracking reports contain confidential information on the commercial activity of competing ETTs with "key accounts," as evidenced by the table below:</w:t>
        <w:br/>
        <w:t>Elements Content Reference</w:t>
        <w:br/>
        <w:t>Monthly reports for the The reports contain information on the identities of the temporary workers placed, their qualifications, the duration of the contract, the hourly rate, the number of hours billed, the amount of gross revenue, and the coefficient applied by the ETT. Client […] relating to the placement activity for the month of January 2009 and [...] for the period from January to November 2009 2920</w:t>
      </w:r>
    </w:p>
    <w:p>
      <w:r>
        <w:t>The report contains the list of temporary workers placed by Randstad, […], the duration of the mission, the qualification, and the amount billed. Report April 2010 […] 3822-3826</w:t>
      </w:r>
    </w:p>
    <w:p>
      <w:r>
        <w:t>The report contains information on […] – on the identity of the temporary workers, the duration of the mission, the precise placement period, the qualification, the number of hours worked, the hourly rate, the multiplier coefficient applied by [...] and the amount billed. Report October 2010 […] 3799</w:t>
      </w:r>
    </w:p>
    <w:p>
      <w:r>
        <w:t>The report includes the list of temporary workers by ETT with information on the duration of the mission, the applicable hourly rate, and the multiplier coefficient by ETT. Report September 2011 3730</w:t>
      </w:r>
    </w:p>
    <w:p>
      <w:r>
        <w:t>Tables related to the tracking Tables contain information on the worked periods, the qualification, and the coefficient based on the positions. of placements from December 2011 to May 2012 at client […] by […]</w:t>
      </w:r>
    </w:p>
    <w:p>
      <w:r>
        <w:t>The monthly activity report […] for client […] contains information on the number of contracts and the revenue for the month of January 2012. Monthly activity report January 2012 […] 3749-3750 at client [...]</w:t>
      </w:r>
    </w:p>
    <w:p>
      <w:r>
        <w:rPr>
          <w:b/>
        </w:rPr>
        <w:t>[Pages 16–18]</w:t>
      </w:r>
    </w:p>
    <w:p>
      <w:r>
        <w:t xml:space="preserve">The report contains the list of temporary workers placed by Randstad, […] and information on the identity of the temporary workers, the duration of the assignment, the qualification, the number of hours worked, the hourly rate, the coefficient, and the amount billed.  </w:t>
        <w:br/>
        <w:t>Activity report April 2012 with a follow-up of temporary contracts 3803-3806</w:t>
      </w:r>
    </w:p>
    <w:p>
      <w:r>
        <w:t xml:space="preserve">Follow-up reports of placements 2011-2012 carried out by […] at […] contain information on the identities of the temporary workers, the placement periods, the base hourly rate, the qualification, and the multiplier coefficient.  </w:t>
        <w:br/>
        <w:t>Report on placements of March and April 2013 at the client […] contains information on the list of temporary workers placed by Randstad […], the duration of the assignment, the qualification, the number of hours worked, the hourly rate, the multiplier coefficient of the temporary employment agency (ETT), and the amount billed. 3743-3746</w:t>
      </w:r>
    </w:p>
    <w:p>
      <w:r>
        <w:t xml:space="preserve">34. Thirdly, several weekly activity reports prepared by RSR contain confidential information on the activities of Randstad's competing ETTs, as highlighted in the table below:  </w:t>
        <w:br/>
        <w:t xml:space="preserve">Elements Content Reference  </w:t>
        <w:br/>
        <w:t xml:space="preserve">Weekly extraction "e-flex" They contain information on the start and end date of the assignment, the total billed, the hourly base, the number of hours worked. 3439-3458  </w:t>
        <w:br/>
        <w:t xml:space="preserve">Tables by ETT on placement contracts The tables contain information on the duration of the assignment, the qualification, the gross paid, and the coefficient applied concerning the placement contracts of […] and Randstad. 3426, 3428, 3432, 3437, 3386, 3389, 3392, 3430, 3384, 3395, 3398, 3402  </w:t>
        <w:br/>
        <w:t>Weekly follow-up 2013 of the revenues generated by the ETTs ([…], Randstad, and […] ) at the client […] (by establishment - […]). 3696-3698</w:t>
      </w:r>
    </w:p>
    <w:p>
      <w:r>
        <w:t xml:space="preserve">35. Fourthly, monthly billing follow-up tables, presented in the table below, include confidential information on competing ETTs:  </w:t>
        <w:br/>
        <w:t xml:space="preserve">Elements Content Reference  </w:t>
        <w:br/>
        <w:t xml:space="preserve">The table includes the total amounts billed by ETT (Randstad, […]), the name of the temporary worker, and the invoice number.  </w:t>
        <w:br/>
        <w:t xml:space="preserve">Billing follow-up table July 2010 for the various sites of the client […] 3521-3522  </w:t>
        <w:br/>
        <w:t>Billing follow-up tables during December 2011 for the client […] include the list of temporary workers placed by the ETTs (Randstad, […]), the duration of the assignment, the number of hours worked, the billing hourly rate, and the amount billed. 3524-3527</w:t>
      </w:r>
    </w:p>
    <w:p>
      <w:r>
        <w:t xml:space="preserve">The table contains the list of temporary workers placed by […], the duration of the assignment, the number of hours worked, the contract coefficient, the base rate, the billing hourly rate, the amount billed, and the qualification.  </w:t>
        <w:br/>
        <w:t>Billing follow-up table of […] for August 2012 3505-3519</w:t>
      </w:r>
    </w:p>
    <w:p>
      <w:r>
        <w:t xml:space="preserve">36. Lastly, during the operations of visits and seizures, documents containing confidential information on competing ETTs were seized from the server of Randstad, as highlighted in the table below:  </w:t>
        <w:br/>
        <w:t xml:space="preserve">Elements Content Reference  </w:t>
        <w:br/>
        <w:t xml:space="preserve">Sheet on "New tariff conditions applicable by […] for the client […] by profile of delegated temporary worker for the period of 2009-2011" including the list of end-of-year discount scales. 3859-3860  </w:t>
        <w:br/>
        <w:t xml:space="preserve">The sheet contains the list of delegation coefficients applicable by […] for the client […] by profile of delegated temporary worker for the period of 2009-2011, including the list of end-of-year discount scales. 3862-3863  </w:t>
        <w:br/>
        <w:t xml:space="preserve">Invoices contain information on the identity of the temporary worker, the hours worked, the hourly rate, and the net amount to be paid.  </w:t>
        <w:br/>
        <w:t>Invoices from […] for the client […] from July to November 2009 and from […] for May and June 2011 620, 621, 623, 627, 632, 636, 640, 615-618, 533-549, 608-610, 612-613, 2670, 2672, 2674</w:t>
      </w:r>
    </w:p>
    <w:p>
      <w:r>
        <w:t xml:space="preserve">The sheets contain information on the position occupied, the identity of the temporary worker, the placement period, and the multiplier coefficient of the ETT concerned: […]  </w:t>
        <w:br/>
        <w:t>Order sheets of temporary workers related to placement at the client […] from December 2010 to May 2013 3318-3319, 3348, 3352, 3342, 3337, 2922, 3325, 3340, 3335, 3350, 2909, 2866, 2799, 3344</w:t>
      </w:r>
    </w:p>
    <w:p>
      <w:r>
        <w:t>Coefficient grid of ETTs by qualification applicable as of October 1, 2011 at the client […] concerning […] , Randstad, […]. 3675</w:t>
      </w:r>
    </w:p>
    <w:p>
      <w:r>
        <w:t>List of management and delegation coefficients of ETTs for the client […] ([…], Randstad, [...]). 3677-3678</w:t>
      </w:r>
    </w:p>
    <w:p>
      <w:r>
        <w:t>List of management and delegation coefficients of ETTs applicable from July 1, 2012 for the client […] ([…], Randstad, [...]). 3118</w:t>
      </w:r>
    </w:p>
    <w:p>
      <w:r>
        <w:t>Extraction files "e-flex" […] related to the client […] with the coefficients applicable by these two ETTs as of November 9, 2011 by type of qualification. 2723-2746, 2801-2824</w:t>
      </w:r>
    </w:p>
    <w:p>
      <w:r>
        <w:t xml:space="preserve">The presentation includes information on the coefficients applied by the ETTs [...].  </w:t>
        <w:br/>
        <w:t>Presentation of 2011 of the temporary work activity at the client […] 3832-3833</w:t>
      </w:r>
    </w:p>
    <w:p>
      <w:r>
        <w:t>The document includes the list of hourly rates (by qualification), the delegation and management coefficients, and the billing coefficients for bonuses, public holidays, and overtime applicable by the ETTs ([…], Randstad, […]).</w:t>
      </w:r>
    </w:p>
    <w:p>
      <w:r>
        <w:t>The files contain information related to the contact details of the referenced ETTs and tables with the applicable multiplier coefficients (for assignments, hours worked, public holidays, bonuses, management coefficients). 3700-3703, 3705-3711, 3713-3717, 3719-3722, 3724-3728</w:t>
      </w:r>
    </w:p>
    <w:p>
      <w:r>
        <w:t>Summary table of the coefficients applicable by the ETTs in 2012 by type of coefficient (management, delegation, training, public holiday) and by type of qualification. 3886</w:t>
      </w:r>
    </w:p>
    <w:p>
      <w:r>
        <w:t xml:space="preserve">b) The mobility of Advisio Services executives to Randstad  </w:t>
        <w:br/>
        <w:t xml:space="preserve">37. It emerges from an email exchange on June 19, 2009, between Mr. X... and Ms. 1..., in charge of human resources at Randstad Industries, that an employee of Advisio, Ms. 2..., was transferred to the Randstad Industries subsidiary (reference 1687).  </w:t>
        <w:br/>
        <w:t xml:space="preserve">38. Furthermore, in its response to the instruction services questionnaire dated July 4, 2017, Randstad indicates that:  </w:t>
        <w:br/>
        <w:t xml:space="preserve">- Ms. P... was transferred from the Randstad ETT to Advisio as development manager, a position she held from May 1, 2010, until February 29, 2012. Then, starting March 1, 2012, she returned to the Randstad ETT as area manager (references 5065-5066);  </w:t>
        <w:br/>
        <w:t>- Mr. B... worked for Advisio until June 1, 2010, at which point he held the position of regional coordinator at GRF (the parent company). Then, starting January 1, 2012, he became agency manager within the Randstad ETT (reference 5067).</w:t>
      </w:r>
    </w:p>
    <w:p>
      <w:r>
        <w:t xml:space="preserve">c) The existence of cross-selling of services offered by GRF subsidiaries  </w:t>
        <w:br/>
        <w:t>39. The elements presented in the table below attest to the existence of cross-selling between the services offered by Advisio (RSR) and the subsidiaries dedicated to the placement of temporary workers of GRF:</w:t>
      </w:r>
    </w:p>
    <w:p>
      <w:r>
        <w:rPr>
          <w:b/>
        </w:rPr>
        <w:t>[Pages 19–21]</w:t>
      </w:r>
    </w:p>
    <w:p>
      <w:r>
        <w:t>n'était pas censé avoir » (Conseil d’État, 21 décembre 2011, n° 339304, p. 6).</w:t>
      </w:r>
    </w:p>
    <w:p>
      <w:r>
        <w:t>B. APPRECIATION EN L’ESPECE DU RESPECT DES ENGAGEMENTS SOUSCRITS PAR RANDSTAD</w:t>
        <w:br/>
        <w:t>46. En l’espèce, il convient d’examiner si Randstad a respecté les engagements pris dans le cadre de la décision n° 09-D-05 du 2 février 2009. Les éléments recueillis montrent que Randstad n’a pas respecté ses engagements, tant en ce qui concerne l’indépendance de RSR que l’accès aux données sensibles des concurrents.</w:t>
      </w:r>
    </w:p>
    <w:p>
      <w:r>
        <w:t>C. IMPUTABILITE DES PRATIQUES</w:t>
        <w:br/>
        <w:t>47. Les pratiques mises en œuvre par Randstad sont imputables à la société, qui a la responsabilité de veiller au respect des engagements pris. La continuité des activités de RSR sous l’égide de Randstad a conduit à une confusion des rôles et à un accès non autorisé aux informations sensibles.</w:t>
      </w:r>
    </w:p>
    <w:p>
      <w:r>
        <w:t>D. SANCTION</w:t>
        <w:br/>
        <w:t>48. En raison de la gravité des manquements constatés, il est proposé d’infliger à Randstad une sanction proportionnée à la nature et à l’ampleur des violations des engagements. La sanction doit également tenir compte des engagements antérieurs pris par Randstad et de la nécessité de dissuader de telles pratiques à l’avenir.</w:t>
      </w:r>
    </w:p>
    <w:p>
      <w:r>
        <w:rPr>
          <w:b/>
        </w:rPr>
        <w:t>[Pages 22–24]</w:t>
      </w:r>
    </w:p>
    <w:p>
      <w:r>
        <w:t>"intended to prevent" (Council of State, December 21, 2012, Groupe Canal Plus et al., No. 353856, point 29).</w:t>
      </w:r>
    </w:p>
    <w:p>
      <w:r>
        <w:t>B. ASSESSMENT IN THIS CASE</w:t>
      </w:r>
    </w:p>
    <w:p>
      <w:r>
        <w:t>46. As previously noted, under decision No. 09-D-05 mentioned above, the Competition Council accepted and made mandatory three categories of commitments proposed by the Randstad group:</w:t>
        <w:br/>
        <w:t>- the first dedicated to the training and supervision of personnel;</w:t>
        <w:br/>
        <w:t>- the second concerning measures "likely to reduce market transparency";</w:t>
        <w:br/>
        <w:t>- the third containing measures aimed at ensuring the effectiveness of the two previous categories (for example, by recruiting a competition legal officer or by strengthening the role of the corporate legal director).</w:t>
      </w:r>
    </w:p>
    <w:p>
      <w:r>
        <w:t>47. The measures implemented regarding the training and supervision of personnel and those related to strengthening the role of the corporate legal director and recruiting a competition legal officer are in compliance with the commitments made in 2009.</w:t>
      </w:r>
    </w:p>
    <w:p>
      <w:r>
        <w:t>48. In contrast, Randstad is criticized for failing to comply with part of the commitments of the second category, concerning measures likely to reduce market transparency.</w:t>
      </w:r>
    </w:p>
    <w:p>
      <w:r>
        <w:t>49. Regarding this second category of commitments, Randstad identified that multi-ETT tools "can only function if their electronic memory contains numerous pieces of information relating to the concerned ETTs. Consequently, the company marketing these tools (in this case, the Vedior group) has ipso facto access to information such as the contractual conditions of its competitors or the business volumes between its competitors and their clients. There is therefore a risk, at least theoretical, that these tools contribute to increasing market transparency." Randstad committed "to remedy the theoretical risks of information circulation that may arise from the 'multi-ETT administrative management services' that they market under the name of Flex Manager and e-flex to user companies."</w:t>
      </w:r>
    </w:p>
    <w:p>
      <w:r>
        <w:t>50. To this end, Randstad specifically committed "to market e-Flex, through a subsidiary independent of Groupe Vedior France [Groupe Randstad France], Advisio Services [RSR], having its own personnel and isolated technical support."</w:t>
      </w:r>
    </w:p>
    <w:p>
      <w:r>
        <w:t>51. To assess compliance with this commitment, it is necessary to analyze the issue of the dual affiliation of a management executive, Mr. X..., who simultaneously held the positions of director of strategy and development of Groupe Randstad France and director of Advisio Services (RSR).</w:t>
      </w:r>
    </w:p>
    <w:p>
      <w:r>
        <w:t>52. In its response to the questionnaire from the investigation services dated July 7, 2015, Randstad confirms that Mr. X... served as the general director of Advisio (which became RMS then RSR) from April 1, 2009, to April 30, 2010, to fill the vacancy of this position (reference 6667). Nevertheless, Randstad disputes having failed to meet its commitment and recalls, for this purpose, the context and conditions under which Mr. X... would have held the management functions of Advisio, distinguishing notably three successive periods: (i) the period from April to December 2009; (ii) the period from December 2009 to March 2010; (iii) the period from March 2010 to the end of April 2010.</w:t>
      </w:r>
    </w:p>
    <w:p>
      <w:r>
        <w:t>1. ON THE PERIOD FROM APRIL TO DECEMBER 2009</w:t>
      </w:r>
    </w:p>
    <w:p>
      <w:r>
        <w:t>53. Randstad argues that this was a complex transition phase following the merger of Randstad and Vedior. It specifies that between April 1, 2009, and April 30, 2010, the position of director of Advisio was vacant and that it was difficult to recruit a new director. To address this vacancy, Mr. X..., director of strategy and development of GRF, was required to temporarily and part-time take charge of the management of Advisio, as evidenced by the absence of a corporate mandate and employment contract linking him to it.</w:t>
      </w:r>
    </w:p>
    <w:p>
      <w:r>
        <w:t>54. Randstad also specifies that Mr. X... was an employee of the holding GRF, which did not engage in temporary work activities, unlike Randstad TT, and that his strategic and commercial responsibilities, as director of strategy and development of GRF, were exercised at a very high level within the group, and not concretely at the commercial level of the group's temporary work companies.</w:t>
      </w:r>
    </w:p>
    <w:p>
      <w:r>
        <w:t>55. Such an argument cannot lead to dismissing the criticism.</w:t>
      </w:r>
    </w:p>
    <w:p>
      <w:r>
        <w:t>56. Firstly, without underestimating that it may be difficult to recruit a director, this circumstance does not imply that the director appointed on a temporary basis should be simultaneously assigned to two structures.</w:t>
      </w:r>
    </w:p>
    <w:p>
      <w:r>
        <w:t>57. Secondly, being simultaneously at the head of Advisio and in another structure of the group constitutes a violation of the commitment, regardless of whether it is GRF or Randstad TT. In this regard, Randstad itself specifies that Mr. Y..., Mr. X...'s successor as General Director of Advisio Services "does not hold any other positions within the Randstad group in France" (references 4302 and 4303).</w:t>
      </w:r>
    </w:p>
    <w:p>
      <w:r>
        <w:t>58. Thirdly, it is demonstrated that Mr. X... directly participated in the commercial activity of the Advisio subsidiary. Thus, the job description of the director of strategy and development communicated by Randstad indicates that he "contributes to the development of the commercial strategies to be implemented and leads the bodies responsible for their operational implementation" (reference 4012). It also appears from the elements of the file that Mr. X... was in charge of monitoring and managing major accounts concerning temporary work and recruitment, ensured by the temporary work subsidiaries of Groupe Randstad France, by notably tracking the monthly evolution of turnover and gross margin rate for each client (references 368 to 441).</w:t>
      </w:r>
    </w:p>
    <w:p>
      <w:r>
        <w:t>2. ON THE PERIOD FROM DECEMBER 2009 TO MARCH 2010</w:t>
      </w:r>
    </w:p>
    <w:p>
      <w:r>
        <w:t>59. Randstad explains that once the complex transition phase was completed, it was considered to formalize and legally secure Mr. X...'s role within Advisio. By letter dated December 22, 2009, Randstad consulted the President of the Authority, such an approach demonstrating, according to it, its good faith and concern for transparency towards the Authority.</w:t>
      </w:r>
    </w:p>
    <w:p>
      <w:r>
        <w:t>60. Randstad specifies that it deemed it necessary to consult the Authority even though it had not detected any problems during the transition period, for two reasons: on the one hand, it recalls that due to the complex situation following the merger and the urgency, no legal analysis of the provisional situation had been carried out; on the other hand, the new situation needed to be sustainable and no longer a temporary solution.</w:t>
      </w:r>
    </w:p>
    <w:p>
      <w:r>
        <w:t>61. Randstad finally recalls that it took three months for the Authority to respond to its letter, during which Randstad considered that the transition period was ongoing.</w:t>
      </w:r>
    </w:p>
    <w:p>
      <w:r>
        <w:t>62. However, all of these arguments do not exempt Randstad from its responsibility, particularly regarding the duration of 9 months that elapsed between Mr. X...'s taking office at the head of Advisio and the sending of a letter to the Authority.</w:t>
      </w:r>
    </w:p>
    <w:p>
      <w:r>
        <w:t>63. Furthermore, it should be noted that in the letter of December 22, 2009, Randstad's counsel considers a future appointment of Mr. X..., even though he had already been serving as the general director of Advisio since April 1, 2009: "It is envisaged that the general director of Advisio be an employee of both this company and GRF [...] the candidate considered by GRF being currently its director of strategy and development, GRF would therefore like him to remain after his appointment as general director of Advisio" (reference 4009). The terms used in the letter addressed to the Authority did not therefore reflect the reality of the responsibilities taken by the individual at the head of Advisio.</w:t>
      </w:r>
    </w:p>
    <w:p>
      <w:r>
        <w:t>64. Moreover, it appears from an email dated July 20, 2009, from Mr. 8..., director of the public sector of GRF, that Mr. X... may have taken his position as general director of Advisio even before April 1, 2009: "Otherwise, I am deliberately copying X..., the new director of Advisio Services since early March" (reference 793).</w:t>
      </w:r>
    </w:p>
    <w:p>
      <w:r>
        <w:t>65. Mr. X... therefore took charge of the Advisio subsidiary at least from April 1, 2009, which is nine months before the letter of December 22, 2009, informing the Authority.</w:t>
      </w:r>
    </w:p>
    <w:p>
      <w:r>
        <w:t>66. The context and urgency cannot justify such a breach of the commitments that Randstad itself undertook, especially since this breach occurred only two months after the decision on commitments.</w:t>
      </w:r>
    </w:p>
    <w:p>
      <w:r>
        <w:t>67. Finally, the response time of the Authority, while it cannot in any case exempt Randstad from the breach of obligations arising from the commitment, does not seem unreasonably long for a practice that had been ongoing at least since April 1, 2009.</w:t>
      </w:r>
    </w:p>
    <w:p>
      <w:r>
        <w:t>3. ON THE PERIOD FROM MARCH 2010 TO THE END OF APRIL 2010</w:t>
      </w:r>
    </w:p>
    <w:p>
      <w:r>
        <w:t>68. Randstad recalls having appointed, as of May 1, 2010, Mr. Y... to the head of Advisio, replacing Mr. X..., less than two months after the Authority's response, even though the letter in response from the deputy general rapporteur dated March 9, 2010, would have been "ambiguous."</w:t>
      </w:r>
    </w:p>
    <w:p>
      <w:r>
        <w:t>69. Nevertheless, contrary to what Randstad claims, the letter in response from the deputy general rapporteur is devoid of any ambiguity: "Regarding the 'dual role' that the general director of Advisio would have, the job description corresponding to his role as director of strategy and development of the organization of Groupe Randstad France indicates that he is intended to intervene at the national level across the entire group and notably mentions the tasks of contributing to the development of the commercial strategies to be implemented and leading the bodies responsible for their operational implementation, as well as ensuring 'the benchmark,' which seems incompatible with the objective as it clearly emerges from the commitment to establish within the group a strict separation between the commercial functions related to the provision of temporary personnel and the functions of marketing and managing multi-ETT administrative tools offered to user companies" (references 4017 and 4018).</w:t>
      </w:r>
    </w:p>
    <w:p>
      <w:r>
        <w:t>70. Consequently, this letter required Randstad to immediately take appropriate measures, at the very least to end Mr. X...'s "dual role."</w:t>
      </w:r>
    </w:p>
    <w:p>
      <w:r>
        <w:rPr>
          <w:b/>
        </w:rPr>
        <w:t>[Pages 25–27]</w:t>
      </w:r>
    </w:p>
    <w:p>
      <w:r>
        <w:t xml:space="preserve">4. CONCLUSION ON COMPLIANCE WITH THE E-FLEX COMMITMENT  </w:t>
        <w:br/>
        <w:t xml:space="preserve">71. The commitments made by Randstad aimed to compartmentalize information among the three main players in the highly concentrated temporary employment sector, namely the Adecco, Manpower, and Randstad groups (Xerfi study of April 2017 on the temporary employment market, pp. 9 and 54, references 6510 and 6512).  </w:t>
        <w:br/>
        <w:t xml:space="preserve">72. As early as 2009, Randstad identified that the "e-flex" tool was likely to create a risk of circulation of sensitive information covered by the business secrecy of its competitors in the temporary employment market, particularly regarding the contractual conditions of other temporary employment agencies and the business volumes between its competitors and clients, thereby contributing to increased market transparency.  </w:t>
        <w:br/>
        <w:t xml:space="preserve">73. It follows from the previously developed elements that by appointing Mr. X..., director of strategy and development of the Randstad France Group, at the head of Advisio, at least from April 1, 2009, to April 30, 2010, less than two months after the decision on commitments, Randstad did not comply with its commitment to market e-flex through an independent subsidiary with its own personnel.  </w:t>
        <w:br/>
        <w:t xml:space="preserve">74. Furthermore, this appointment took place in a particular and evolving corporate context, likely to increase the risk of "information circulation" (according to the terms of the commitment): first, Randstad decided to develop, beyond the "e-flex" tool, MSP services, granting access to a volume and fine granularity of confidential data; secondly, several executives were transferred from RSR to Randstad; finally, there were cross-sales between the services offered by Advisio (RSR) and the subsidiaries dedicated to the placement of temporary workers of the Randstad France Group.  </w:t>
        <w:br/>
        <w:t xml:space="preserve">75. The risk of circulation of sensitive information was indeed materialized when Mr. X... was sent an e-flex extraction file related to the client [...] containing the multiplier coefficients of [...] by type of qualification, which he transferred to Ms. F..., who was then the back office &amp; client solution director of Randstad France Group (references 244-312).  </w:t>
        <w:br/>
        <w:t xml:space="preserve">76. In light of these various elements, the Authority concludes that the commitment was therefore violated at least from April 1, 2009, to April 30, 2010.  </w:t>
        <w:br/>
        <w:t xml:space="preserve">C. ON ATTRIBUTION OF LIABILITY  </w:t>
        <w:br/>
        <w:t xml:space="preserve">1. ON ATTRIBUTION OF LIABILITY IN THE EVENT OF TRANSFORMATION OF THE COMPANY  </w:t>
        <w:br/>
        <w:t xml:space="preserve">77. It follows from consistent case law that as long as the legal entity responsible for the operation of the company that implemented practices violating competition rules legally exists, it must be held responsible for these practices, even if the material and human elements that contributed to the commission of the offense have been transferred to a third party.  </w:t>
        <w:br/>
        <w:t xml:space="preserve">78. If this legal entity has changed its corporate name or legal form, it nonetheless continues to be liable for the offense committed.  </w:t>
        <w:br/>
        <w:t xml:space="preserve">79.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 in fact (decisions of the Court of Cassation of June 23, 2004, BNP Paribas et al., No. 01-17896 and 02-10066, and of the Paris Court of Appeal of January 14, 2009, Eurelec Midi Pyrénées et al., No. 2008/01095, p. 5).  </w:t>
        <w:br/>
        <w:t xml:space="preserve">80. This is particularly the case when one legal entity is absorbed by another. In this case, the practices for which the absorbed company is responsible are attributed to the legal entity that absorbed it. The same may also apply to the company or entity resulting from the merger between the perpetrator of the practices and another entity (see in particular the Authority's decision No. 13-D-12 of May 28, 2013, regarding practices implemented in the chemical commodities marketing sector, paragraph 829).  </w:t>
        <w:br/>
        <w:t xml:space="preserve">81. In this case, the report from the investigation services detailing the practices of non-compliance with commitments was notified to the companies Groupe Randstad France SAS and Randstad SAS as the perpetrators of the practices and to the companies Randstad Holding NV and Randstad France SASU as the parent companies of Groupe Randstad France SAS and Randstad SAS.  </w:t>
        <w:br/>
        <w:t xml:space="preserve">82. The commitments made mandatory by the Competition Council in the aforementioned decision No. 09-D-05 were made by the companies Groupe Vedior France and VediorBis, which became, after the merger with the Randstad group at the global level and the restructuring operations carried out in 2008 and 2009, respectively Groupe Randstad France SAS and Randstad SAS.  </w:t>
        <w:br/>
        <w:t xml:space="preserve">83. The non-compliance with the 2009 commitments is therefore attributable to the companies Groupe Randstad France SAS and Randstad SAS as the perpetrators.  </w:t>
        <w:br/>
        <w:t xml:space="preserve">2. ON ATTRIBUTION OF LIABILITY WITHIN A GROUP OF COMPANIES  </w:t>
        <w:br/>
        <w:t xml:space="preserve">84. The rules of attribution of offenses, established by European case law and adapted in national law, particularly the presumption of attribution to the parent company of the actions of its subsidiary, are applicable in this case.  </w:t>
        <w:br/>
        <w:t xml:space="preserve">85.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(General Court, December 12, 2007, Akzo Nobel et al. / Commission, case T-112/05, point 58, General Court, March 31, 2009, ArcelorMittal Luxembourg / Commission, case T-405/06, point 96, Court of Justice, May 17, 2011, Elf Aquitaine / Commission, case T-299/08, point 54, and Paris Court of Appeal, March 29, 2012, Lacroix Signalisation et al., No. 2011/01228, pp. 18 and 19).  </w:t>
        <w:br/>
        <w:t xml:space="preserve">86. In the particular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(Court of Justice, September 10, 2009, Akzo Nobel et al. / Commission, C-97/08 P, point 60, Court of Justice, January 20, 2011, General Quimica et al. / Commission, case C-90/09 P, point 42, Court of Justice, September 29, 2011, Arkema / Commission, C-520/09 P, point 42, and Paris Court of Appeal, Lacroix Signalisation et al., cited above, p. 19).  </w:t>
        <w:br/>
        <w:t xml:space="preserve">87. In this hypothesis, it is sufficient for the competition authority to provide evidence of this capital holding to attribute the behavior of the subsidiary that committed the practices to the parent company (Court of Justice, Akzo Nobel et al. / Commission, cited above, point 61, Court of Justice, May 17, 2011, Elf Aquitaine / Commission, case T-299/08, point 57, and Lacroix Signalisation et al., cited above, p. 19).  </w:t>
        <w:br/>
        <w:t xml:space="preserve">88.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 (Court of Justice, Arkema / Commission, cited above, points 40 and 41, and Lacroix Signalisation et al., cited above, p. 20).  </w:t>
        <w:br/>
        <w:t xml:space="preserve">89. In its decisions No. 11-D-02 of January 26, 2011, and No. 11-D-13 of October 5, 2011, the Authority recalled that, as a substantive rule, it is necessary to ensure the implementation of homogeneous attribution rules, and in particular, a single standard of proof, when the Authority applies only domestic competition law or when it simultaneously applies domestic law and community law.  </w:t>
        <w:br/>
        <w:t xml:space="preserve">90. In a ruling of May 19, 2016, the Paris Court of Appeal held that this presumption of attribution is applicable by the Authority "even when it exclusively applies national competition law, for reasons of legal consistency" (ruling of the Paris Court of Appeal of May 19, 2016, Mobilitas SA, No. 2014/25803, p. 6).  </w:t>
        <w:br/>
        <w:t xml:space="preserve">91. In this case, the capital of Randstad SAS is controlled by the company Groupe Randstad France at 97.6%, and the remaining 2.3% is held by Randstad France SASU, which in turn controls 100% of the capital of the company Groupe Randstad France. Randstad France SASU is indirectly controlled by the head of the Randstad Holding NV group. It follows from the information provided by Randstad that, since 2009, there has been no change in the control of the capital of Randstad SAS and Groupe Randstad France SAS.  </w:t>
        <w:br/>
        <w:t xml:space="preserve">92. Consequently, the practices of non-compliance with commitments implemented by the companies Groupe Randstad France SAS and Randstad SAS must be attributed to the companies Randstad Holding NV and Randstad France SASU due to their status as parent companies that exerted a determining influence on the behavior of their subsidiary during the period of non-compliance with the commitments.  </w:t>
        <w:br/>
        <w:t xml:space="preserve">D. ON THE SANCTION  </w:t>
        <w:br/>
        <w:t xml:space="preserve">93. Article L. 464-3 of the Commercial Code states that "if the measures, injunctions, or commitments provided for in Articles L. 464-1 and L. 464-2 are not respected, the Competition Authority may impose a monetary sanction within the limits set out in Article L. 464-2."  </w:t>
        <w:br/>
        <w:t>94. The provisions of this article refer only to the legal maximum of the monetary sanction provided for in Article L. 464-2 of the Commercial Code, without expressly referring to the criteria for determining sanctions provided for in the same article in the case of anti-competitive practices. Nevertheless, the requirement for individualization and the principle of proportionality of the sanction lead to taking into account the facts and the specific context of this case in order to determine the sanction based on the severity of the behavior attributed to Randstad, on the one hand, and the impact that this behavior may have had on the competition that the commitments aimed to preserve, on the other hand (decisions</w:t>
      </w:r>
    </w:p>
    <w:p>
      <w:r>
        <w:rPr>
          <w:b/>
        </w:rPr>
        <w:t>[Pages 28–30]</w:t>
      </w:r>
    </w:p>
    <w:p>
      <w:r>
        <w:t>considering the facts and the context specific to this case in order to determine the sanction based on the severity of the behavior attributed to Randstad, on the one hand, and the impact that this behavior may have had on the competition that the commitments aimed to preserve, on the other hand (decisions</w:t>
      </w:r>
    </w:p>
    <w:p>
      <w:r>
        <w:t>No. 15-D-02 of February 26, 2015, regarding compliance by the GIE "Les Indépendants" with the commitments made in the decision of the Competition Council No. 06-D-29 of October 6, 2006, confirmed by the ruling of the Paris Court of Appeal of October 6, 2016, GIE Les Indépendants, No. 2015/06776; No. 11-D-10 of July 6, 2011, regarding compliance by the city of Marseille with the commitments made in the decision of the Competition Council No. 08-D-34 of December 22, 2008; No. 11-D-12 of September 20, 2011, regarding compliance with the commitments set out in the decision authorizing the acquisition of TPS and CanalSatellite by Vivendi Universal and Groupe Canal Plus; and No. 12-D-05 of January 24, 2012, regarding compliance by the company SRR with the injunction issued by decision No. 09-MC-02 of September 16, 2009).</w:t>
      </w:r>
    </w:p>
    <w:p>
      <w:r>
        <w:t>1. ON THE LEGAL MAXIMUM OF THE SANCTION</w:t>
        <w:br/>
        <w:t>95. In accordance with I of Article L. 464-2 of the Commercial Code, when the offender is a company, the maximum amount of the financial sanction is 10% of the highest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96. In this case, the turnover of the Randstad France Group and Randstad SAS is consolidated within Randstad Holding NV.</w:t>
      </w:r>
    </w:p>
    <w:p>
      <w:r>
        <w:t>97. The highest turnover recorded in 2017 being valued at 23.272 billion euros, the maximum amount of the financial sanction incurred is 2.3 billion euros.</w:t>
      </w:r>
    </w:p>
    <w:p>
      <w:r>
        <w:t>2. ON THE SEVERITY OF THE VIOLATIONS</w:t>
        <w:br/>
        <w:t>98. The Authority has consistently considered the non-compliance with commitments as "a serious practice in itself. Such a practice is all the more serious as the commitments are made at the initiative of the parties involved who propose them" (decision No. 10-D-21 of June 30, 2010, regarding compliance by Neopost France and Satas with the commitments made in the decision of the Competition Council No. 05-D-49 of July 25, 2005, paragraphs 103 and 104, and decision 15-D-02 of February 26, 2015, GIE Les Indépendants, cited above, paragraph 192).</w:t>
      </w:r>
    </w:p>
    <w:p>
      <w:r>
        <w:t>99. In the same vein, the Paris Court of Appeal has held that non-compliance with injunctions constitutes, "in itself [...] a practice of exceptional gravity" (ruling of the Paris Court of Appeal of January 11, 2005, France Télécom, No. 2004/11023).</w:t>
      </w:r>
    </w:p>
    <w:p>
      <w:r>
        <w:t>100. In this case, it should be noted that the violation occurred barely two months after the commitments came into force and that Randstad did not immediately take into account the warning from the deputy general rapporteur in his letter of March 9, 2010, which specified that the measures contemplated by Randstad "do not comply with the letter" of the commitments.</w:t>
      </w:r>
    </w:p>
    <w:p>
      <w:r>
        <w:t>3. ON THE IMPACT OF THE IDENTIFIED VIOLATIONS ON THE COMPETITION THAT THE COMMITMENTS AIMED TO PRESERVE</w:t>
        <w:br/>
        <w:t>101. In the aforementioned decision No. 15-D-02, the Authority considered that, regardless of the intrinsic severity of the offense, it was necessary to assess the impact that Randstad's behavior may have had on the competition that the commitments aimed to preserve. This exercise is not to be confused with an examination of the current or even potential effects of the identified offense on the market or more generally on the economy. Independently of such effects, which may possibly be taken into consideration, it is necessarily in relation to the competitive situation that the decision aimed to preserve that one must reason (paragraph 198 of decision No. 15-D-02).</w:t>
      </w:r>
    </w:p>
    <w:p>
      <w:r>
        <w:t>102. As previously seen, the commitments made by Randstad aimed to avoid "increasing transparency" in the highly concentrated temporary employment sector, in which the groups Adecco, Manpower, and Randstad occupy the top three positions (Xerfi study of April 2017 on the temporary employment market, p. 9 and 54, references 6510 and 6512).</w:t>
      </w:r>
    </w:p>
    <w:p>
      <w:r>
        <w:t>103. By failing to comply with the commitment to market the "e-flex" tool through an independent subsidiary of Randstad France with its own personnel, Randstad increased the risk of transmitting confidential information related to competing temporary employment agencies.</w:t>
      </w:r>
    </w:p>
    <w:p>
      <w:r>
        <w:t>104. This risk of the circulation of sensitive information was indeed materialized during the sending to Mr. X... of an e-flex extraction file related to the client [...] containing the multiplier coefficients of [...] by type of qualification, which he transferred to Ms. F..., who was at the time the back office &amp; client solution director of the company Groupe Randstad France (references 244-312).</w:t>
      </w:r>
    </w:p>
    <w:p>
      <w:r>
        <w:t>4. ON THE AMOUNT OF THE SANCTION</w:t>
        <w:br/>
        <w:t>105. Based on the elements presented above, it is therefore appropriate to impose jointly on the companies Groupe Randstad France SAS, Randstad SAS, Randstad Holding NV, and Randstad France SASU a sanction of 4.5 million euros.</w:t>
      </w:r>
    </w:p>
    <w:p>
      <w:r>
        <w:t>DECISION</w:t>
        <w:br/>
        <w:t>Article 1: It is established that the companies Groupe Randstad France SAS and Randstad SAS, as authors of the practices, and the companies Randstad Holding NV and Randstad France SASU, in their capacity as parent companies of Groupe Randstad France SAS and Randstad SAS, have violated the commitment to market the "e-flex" tool through an independent subsidiary of Groupe Randstad France with its own personnel, undertaken by them and made mandatory by the decision of the Competition Council No. 09-D-05 of February 2, 2009.</w:t>
      </w:r>
    </w:p>
    <w:p>
      <w:r>
        <w:t>Article 2: By virtue of the violation referred to in Article 1, a financial sanction of 4.5 million euros is imposed jointly on the companies Groupe Randstad France SAS, Randstad SAS, Randstad Holding NV, and Randstad France SASU.</w:t>
      </w:r>
    </w:p>
    <w:p>
      <w:r>
        <w:t>Deliberated on the oral report of Ms. Milena Sabeva, rapporteur, and the intervention of Mr. Umberto Berkani, deputy general rapporteur, by Mr. Emmanuel Combe, vice-president, president of the session, Ms. Marie-Laure Sauty de Chalon, and Ms. Carol Xueref, members.</w:t>
      </w:r>
    </w:p>
    <w:p>
      <w:r>
        <w:t>The session secretary, The session president,</w:t>
        <w:br/>
        <w:t>Armelle Hillion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