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https://www.autoritedelaconcurrence.fr/fr/decision/relative-au-secteur-du-negoce-du-charbon-domestique-dans-la-region-poitou-charentes-vendee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92-D-60 of November 3, 1992  </w:t>
        <w:br/>
        <w:t xml:space="preserve">concerning the domestic coal trading sector in the Poitou-Charentes-Vendée region  </w:t>
        <w:br/>
        <w:t xml:space="preserve">The Competition Council,  </w:t>
        <w:br/>
        <w:t xml:space="preserve">Having regard to the letter registered on March 13, 1990, under number F 311, by which the Minister of State, Minister of Economy, Finance, and Budget, referred to the Competition Council a file concerning the competitive situation in the domestic coal trading sector in the Poitou-Charentes-Vendée region;  </w:t>
        <w:br/>
        <w:t xml:space="preserve">Having regard to Ordinances Nos. 45-1483 and 45-1484 of June 30, 1945, as amended, relating respectively to prices and to the detection, prosecution, and repression of violations of economic legislation;  </w:t>
        <w:br/>
        <w:t xml:space="preserve">Having regard to Ordinance No. 86-1243 of December 1, 1986, concerning the freedom of prices and competition as amended, together with Decree No. 86-1309 of December 29, 1986, as amended, taken for its application;  </w:t>
        <w:br/>
        <w:t xml:space="preserve">Having regard to the Treaty of April 18, 1951, establishing the European Coal and Steel Community;  </w:t>
        <w:br/>
        <w:t xml:space="preserve">Having regard to the observations presented by the parties and by the Government Commissioner;  </w:t>
        <w:br/>
        <w:t xml:space="preserve">Having regard to the other documents in the file;  </w:t>
        <w:br/>
        <w:t xml:space="preserve">The rapporteur, the general rapporteur, the Government Commissioner, and the parties heard;  </w:t>
        <w:br/>
        <w:t xml:space="preserve">Considering that the companies in question engage in the production and wholesale distribution of coal briquettes, as defined in Annex I of the Treaty establishing the European Coal and Steel Community, which fall exclusively under the authority of the Community;  </w:t>
        <w:br/>
        <w:t xml:space="preserve">Considering that in his letter of September 28, 1992, the Minister of Economy and Finance decided to withdraw his referral;  </w:t>
        <w:br/>
        <w:t>Considering that with regard to the retail trading activity of the same companies, there is no need to take action ex officio,</w:t>
      </w:r>
    </w:p>
    <w:p>
      <w:r>
        <w:t xml:space="preserve">Decides:  </w:t>
        <w:br/>
        <w:t xml:space="preserve">Sole Article. - The file registered under number F 311 is closed.  </w:t>
        <w:br/>
        <w:t xml:space="preserve">Adopted, on the report of Mr. Jean-Marie Somny, by Messrs. Pineau, Vice-President, Blaise, Cortesse, Gaillard, and Sargos, members.  </w:t>
        <w:br/>
        <w:t xml:space="preserve">The general rapporteur, The Vice-President, presiding over the session,  </w:t>
        <w:br/>
        <w:t xml:space="preserve">F. Jenny J. Pineau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