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https://www.autoritedelaconcurrence.fr/fr/decision/relative-aux-demandes-de-mesures-conservatoires-presentees-par-la-societe-pharmajet</w:t>
      </w:r>
    </w:p>
    <w:p>
      <w:r>
        <w:t>Pages translated : 12</w:t>
      </w:r>
    </w:p>
    <w:p/>
    <w:p>
      <w:r>
        <w:rPr>
          <w:b/>
        </w:rPr>
        <w:t>[Pages 1–3]</w:t>
      </w:r>
    </w:p>
    <w:p>
      <w:r>
        <w:t>Decision No. 02-MC-09 of June 12, 2002</w:t>
        <w:br/>
        <w:t>regarding the requests for interim measures</w:t>
        <w:br/>
        <w:t>submitted by the company Pharmajet</w:t>
        <w:br/>
        <w:t>The Competition Council (section II);</w:t>
        <w:br/>
        <w:t>Considering the letters registered on January 11 and February 7, 2001 under number F 1286, on February 8, 2002 under numbers 01/1286/F and 02/0020/M, and on February 19, 2002 under numbers 02/0031/F and 02/0032/M, by which the company Pharmajet referred to the Competition Council practices implemented by the laboratories GlaxoSmithKline (formerly Glaxo-Wellcome), Merck Sharp and Dohme Chibret (MSD), Pfizer, and Lilly that it considers anti-competitive and requested the issuance of interim measures;</w:t>
        <w:br/>
        <w:t>Considering Book IV of the Commercial Code, relating to price and competition freedom, Decree No. 86-1309 of December 29, 1986 as amended, setting the conditions for the application of Ordinance No. 86-1243 of December 1, 1986, as well as Decree No. 2002-689 of April 30, 2002 setting the conditions for the application of Book IV of the Commercial Code;</w:t>
        <w:br/>
        <w:t>Considering the observations presented by the Government Commissioner as well as the companies Pharmajet, GlaxoSmithKline, Merck Sharp and Dohme Chibret (MSD), Pfizer, and Lilly France;</w:t>
        <w:br/>
        <w:t>Considering the other documents in the file;</w:t>
        <w:br/>
        <w:t>The rapporteur, the deputy general rapporteur, the Government Commissioner, the representatives of the companies Pharmajet, GlaxoSmithKline, Merck Sharp and Dohme Chibret (MSD), Pfizer, and Lilly France heard during the session of May 21, 2002.</w:t>
        <w:br/>
        <w:t>I. - The practices denounced</w:t>
        <w:br/>
        <w:t>Considering that the company Pharmajet, holder of a wholesale export license in pharmacy, claims that it faces difficulties in obtaining medicines from the companies GlaxoSmithKline, Merck Sharp and Dohme Chibret, Pfizer, and Lilly;</w:t>
        <w:br/>
        <w:t>Considering that the company Pharmajet initially argued that, since its creation in 1997, the Glaxo-Wellcome laboratory has been limiting its supplies by delivering a maximum of one-tenth of its orders, despite the precise order schedules sent to it; that, at the same time, this laboratory supplies its national counterparts who export up to ten times more quantities than those it obtains, while their market share is lower; that the MSD laboratory established in 1996 a "European stock management system" aimed at "improving its deliveries," with the purpose of limiting exports to EEC countries by introducing fixed quotas per customer; that this system has the effect of freezing market shares, with 1995 as the reference year; that moreover, little or nothing is planned for new customers; that the Pfizer laboratory delivered the product Tahor to it without restriction from the end of 1998 to the end of October 2000; that at the beginning of November 2000, it was specified to it that there would be delivery problems with this product; that on December 21, 2000, it received a letter from Pfizer dated December 21, 2000, indicating: "You have, sporadically in 1999, more regularly during the year 2000, purchased Tahor 10 mg and 40 mg from the company Parke Davis, a subsidiary of the Warner Lambert group. The latter has, as you know, been globally acquired by the Pfizer group. We wish to inform you of our decision to discontinue the commercial relations you had with Parke Davis SCA regarding the product Tahor, regardless of the dosage. This decision will take effect on May 1, 2001. "... Considering that your orders for this product over the last twelve months have varied considerably from month to month, we inform you that during the notice period expiring on April 30, 2001, and if you continue to send us orders for this product, we will be able to deliver quantities that will not exceed, each month, 26,190 units for Tahor 10 mg and 6,370 units for Tahor 40 mg..."; that, by letters dated April 3, May 11, and November 27, 2001, the referring party indicated that it confirmed the increase in refusals to sell of which it is a victim and their extension to other laboratories or to other products of the laboratories it has already challenged; that, in particular, the MSD laboratories in Holland, the parent company of MSD France, have refused it, since September 14, 2001, any delivery of Singulair 10 mg tablets in boxes of 28; that this product is delivered in France by MSD Holland and not MSD France for a reason unknown to it; that, moreover, MSD no longer lists the product Singulair in its "European stock management system" as it previously did for its other products; that, furthermore, the company Pharmajet again claims that its distributing counterparts are delivered without exception; that in addition, it communicated, on December 5, 2001, a letter from the GlaxoSmithKline laboratory dated November 30, 2001, setting a six-month notice period to stop all commercial relations; that in its letter registered on February 8, 2002, it indicated that Pfizer also refused to deliver the product Neurontin and that MSD no longer delivers new products such as Singulair, already mentioned, and Cosopt; that finally, it specified, on April 12, 2002, that MSD also refused to deliver the product Vioxx;</w:t>
        <w:br/>
        <w:t>Considering that, subsequently, the company Pharmajet communicated, by letter dated February 12, 2002, a letter from the Lilly laboratory, dated February 7, 2002, informing it of changes in its "supply chain management system" (SCMS) implemented by its group in Europe, concerning the products Alfatil, Celance, Evista, Gemzar, Umatrope, Prozac, and Zyprexa; that this letter specifies: "We are convinced that these changes will allow the SCMS to be an even more effective tool for managing our group's sales territories by enabling it to better adjust its production and distribution activities to the needs of each country. For good measure, these changes have been notified to the European Commission. According to the new terms of the SCMS, applicable for allocations of the 2nd quarter, starting from April 1, 2002, the allocations of each product for each country will be defined to better reflect the demand in the country in question. Thus, the quantities supplied will be determined based on sales to pharmacies as known through the most recent data brought to our attention by an external organization, but adjusted to take into account the evolution of demand as anticipated by both internal and external contributions of "market intelligence." The quantities supplied to each wholesaler will be determined according to the weight that it represents in the total quantities defined above, this weight being determined based on internal and/or external data of "market intelligence." These new terms lead us not to allocate you any allocation for the 2nd quarter of 2002, for the products included in the SCMS that you ordered from us";</w:t>
        <w:br/>
        <w:t>Considering that the company Pharmajet argues that the practices thus denounced are contrary to the provisions of Book IV of the Commercial Code; that it claims that the refusals to sell of which it is the subject and their extension to other laboratories demonstrate the collusion based on abuse of dominant position that is systematically being established and functioning between the laboratories, on the one hand, and between the laboratories and the French distributors, on the other hand; that following the sending of the letter from the Lilly laboratory, dated February 7, 2002, mentioned above, it claims to be "again in the wake" of the laboratories for "collusion between Lilly, GlaxoSmithKline, and Pfizer to eliminate parallel exports, collusion between these three laboratories and the national distributors who are the only ones to be supplied beyond the notice periods" (Article 81 of the Treaty of Rome), and "abuse of dominant position as each molecule is an original molecule patented by Lilly and constitutes a market in itself of which Lilly holds 100% (Article 82 of the Treaty of Rome);</w:t>
        <w:br/>
        <w:t>II. – The defense on the merits of the laboratories</w:t>
        <w:br/>
        <w:t>Considering that the company GlaxoSmithKline opposes that its behavior is unilateral and has not been accepted by the wholesalers; that, moreover, there are no sufficiently probative elements in this case to establish a horizontal agreement; that, furthermore, no element supporting an abuse of dominant position can be noted; that the relevant reference market is constituted by the market for pharmaceutical specialties in the territory of the European Economic Area, on which it does not hold a dominant position; that at the demand level, all pharmaceutical specialties authorized on the market of the European Economic Area are potentially called to enter the drug trading circuit; that they are, from the perspective of parallel importers, interchangeable and substitutable; that it holds, in the territory of the European Economic Area, 7.5% market share;</w:t>
        <w:br/>
        <w:t>Considering that the company MSD indicates, for its part, that it is indirectly owned by the American company Merck and Co Inc which develops, manufactures, and sells medicines worldwide; that in Europe, each subsidiary receives medicines through the Dutch company MSD International Services BV (MSDIS), also owned by Merck; that MSDIS is the European center for organizing Merck's production and is responsible for obtaining the necessary chemical raw materials, having the medicines manufactured by Merck's factories, and supplying the subsidiaries; that at the beginning of 1996, an integrated stock management system was established across Europe through MSDIS; that, by letter dated June 19, 1997, it informed Pharmajet that it participated in such a system that is applicable to all its customers; that it argues, regarding the application of Article 81 of the Treaty of Rome, that Pharmajet produces no element suggesting the existence of an agreement of wills between MSD and the other laboratories or between MSD and the wholesalers; that it wonders how the Merck system could have been the subject of an agreement with another laboratory since it was implemented in France on March 1, 1996, more than a year before the creation of</w:t>
      </w:r>
    </w:p>
    <w:p>
      <w:r>
        <w:rPr>
          <w:b/>
        </w:rPr>
        <w:t>[Pages 4–6]</w:t>
      </w:r>
    </w:p>
    <w:p>
      <w:r>
        <w:t>decision on this matter; that, consequently, the argument must be dismissed;</w:t>
      </w:r>
    </w:p>
    <w:p>
      <w:r>
        <w:t>Considering that the company MSD argues that it notified its European stock management system to the Commission of the European Communities on March 1, 1996, and that subsequent to this notification, the Commission sent it a formal request for information pursuant to the provisions of Article 11 of Regulation 17/62 of the Council of February 6, 1962; that thus, the Commission initiated a procedure within the meaning of Article 9, paragraph 3, of this regulation which states: "As long as the Commission has not initiated any procedure under Articles 2, 3, or 6, the authorities of the Member States remain competent to apply the provisions of Article 85, paragraph 1, and Article 86 in accordance with Article 88 of the Treaty, even if the deadlines provided for in Article 5, paragraph 1, and Article 7, paragraph 2, for notification have not expired"; that consequently, the Competition Council must declare itself incompetent;</w:t>
      </w:r>
    </w:p>
    <w:p>
      <w:r>
        <w:t>But considering that the formal request for information sent by the Commission of the European Communities on July 3, 1996, to the company Merck &amp; Co Inc, a copy of which was attached by the company MSD to its observations, states: "The purpose of this request is to enable the Commission to assess the compatibility of the agreement" which was notified to it on March 1, 1996 "with the EEC competition rules, particularly Article 85 of the EEC Treaty, being fully informed of the facts and their exact economic context"; that this request for information is part of a preliminary investigation allowing the Commission to obtain the information it needs to decide whether to initiate a contradictory procedure; that it therefore does not constitute a commitment to a procedure before the Commission; that consequently, the argument must be dismissed;</w:t>
      </w:r>
    </w:p>
    <w:p>
      <w:r>
        <w:t>Considering that the GlaxoSmithKline laboratory argues that the Commission of the European Communities has already been seized of the present case in particular, as well as of the entire restructuring of the pharmaceutical distribution sector; that, moreover, it has been seized in litigation regarding the modification of the GlaxoSmithKline distribution system; that consequently, the Competition Council must stay its decision pending the solution that will be adopted by the community institutions;</w:t>
      </w:r>
    </w:p>
    <w:p>
      <w:r>
        <w:t>But considering that, although the company Pharmajet has indeed filed a complaint with the Commission of the European Communities against the MSD laboratory, no element in the file establishes that to date it has initiated a procedure; that if the GlaxoSmithKline company has been able to notify its new distribution conditions, no element in the file demonstrates either that the Commission has made a decision on this matter;</w:t>
      </w:r>
    </w:p>
    <w:p>
      <w:r>
        <w:rPr>
          <w:b/>
        </w:rPr>
        <w:t>[Pages 7–9]</w:t>
      </w:r>
    </w:p>
    <w:p>
      <w:r>
        <w:t xml:space="preserve">of the possibility to substitue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 xml:space="preserve">"In the United Kingdom, the National Health Service recovers, through the 'claw-back' mechanism, the average savings it estimates pharmacies have made on all their purchases from the parallel market. </w:t>
        <w:br/>
        <w:t xml:space="preserve">"In Ireland and Sweden, a parallel imported product must allow the state to achieve savings before being listed among the reimbursed products. </w:t>
        <w:br/>
        <w:t xml:space="preserve">"The difference in cost between a domestic product and its parallel import equivalent is shared between the pharmacy that dispenses it and the payer organization, in the Netherlands and Norway, and between health insurance and the patient, in Finland. </w:t>
        <w:br/>
        <w:t xml:space="preserve">"The German health funds and the Danish government require pharmacies to dispense cheaper synonymous products, including parallel imports, when it is possible to achieve certain percentages of savings"; </w:t>
        <w:br/>
        <w:t xml:space="preserve">Considering, firstly, that in many countries of the European Union, national regulations require laboratories or wholesalers to supply the local market in such a way that this supply is ensured even in the absence of parallel imports; secondly, that in many countries of the European Union, national regulations limit the freedom of price setting for medicines by laboratories, wholesalers, or distributors; thirdly, that in a number of countries of the European Union, medicines subject to medical prescription are, in part or in full, reimbursed to patients, such that the price elasticity of demand for medicines dispensed by pharmacies is low or zero and, assuming that pharmacists have the possibility to substitute one molecule for another, this would not benefit the company Pharmajet; that this substitution benefits the subsidiary of the laboratory that refuses to sell to it in France; that furthermore, it produces a study from the European Association of Euro-Pharmaceutical Companies (EAEPC), titled "Use of Parallel Imported Medicines: Benefits for the Payer and the Consumer", according to which "With the introduction of the parallel market, the social security and health insurance systems in each of the member countries see their direct savings accumulate. This is explained by the fact that national governments, or the organizations responsible for health in these states, have introduced measures aimed at ensuring the savings made through the parallel market. The implementation of these measures varies by country: </w:t>
        <w:br/>
        <w:t>"In the</w:t>
      </w:r>
    </w:p>
    <w:p>
      <w:r>
        <w:rPr>
          <w:b/>
        </w:rPr>
        <w:t>[Pages 10–12]</w:t>
      </w:r>
    </w:p>
    <w:p>
      <w:r>
        <w:t>European Union, medications subject to a medical prescription are, in part or in full, reimbursed to patients, such that the price elasticity of demand for medications dispensed by pharmacies is low or zero and, assuming that pharmacists have some freedom to set the prices of medications, they are not incentivized to offer patients prices lower than those commonly practiced; that fourthly, while it is possible that, in certain countries of the European Union, healthcare establishments that enter into contracts to purchase medications (such as clinics or hospitals) may procure from parallel importers some of the medications concerned at prices lower than those offered by wholesalers who only source from local suppliers, it is also possible that these purchasers have an interest, given their purchasing volume, in dealing directly with manufacturers rather than intermediaries, even if they are wholesalers importing medications from France;</w:t>
      </w:r>
    </w:p>
    <w:p>
      <w:r>
        <w:t>Considering that it follows from the above that the assessment of the seriousness and immediacy of the potential harm to the overall economy, the sector, or the interest of consumers caused by the practices denounced can only result from a concrete assessment of the actual operating conditions of the markets concerned;</w:t>
      </w:r>
    </w:p>
    <w:p>
      <w:r>
        <w:t>Considering, in this regard, that the referring party does not provide any element allowing for the determination of the countries of the Union to which it exports the medications it wishes to engage in parallel trade and the type of clientele (importing wholesalers or healthcare establishments) to which it addresses or that is likely to establish the prevailing pricing regime in those countries; that it also does not provide any element regarding the obligations of laboratories concerning market supply in those countries, any potential other suppliers of the medications concerned, and in particular the parallel importers from countries other than France operating in the territories of the importing countries, the difference between the prices it charges to importing wholesalers for the medications in question and the prices at which those same medications are charged locally by the laboratories to wholesalers in those countries; that, likewise, it does not provide any precise indication allowing for the assessment of the extent to which pharmacists in the importing countries pass on to patients any potential decreases in purchase prices of the medications they have benefited from through parallel channels;</w:t>
      </w:r>
    </w:p>
    <w:p>
      <w:r>
        <w:t>Considering that while Pharmajet has produced the study mentioned above, according to which the health insurance services of the United Kingdom, Ireland, Sweden, the Netherlands, Norway, and Germany benefit from parallel imports, it has not provided any details on the significance of the benefit that said services would derive from its exports of the medications targeted by this request for interim measures; that likewise, it does not provide any information regarding the price reductions practiced in response to any calls for tenders issued by healthcare establishments in the importing countries compared to the conditions that can be obtained locally by these buyers, either from local wholesalers who do not resort to parallel imports or from the laboratories; that, moreover, when Pharmajet argues that Pfizer implemented a 35% price reduction for the product Tahor 40 mg in November 2001 in the United Kingdom, which would prove the positive effect of the influence of parallel exports on public health expenditures, it does not demonstrate that this reduction was due to the parallel imports of Pharmajet in the United Kingdom;</w:t>
      </w:r>
    </w:p>
    <w:p>
      <w:r>
        <w:t>Considering, thus, that while the referring company claims that the arbitrage activity developed by the exporting wholesalers of which it is a part benefits the payer and the consumer, it does not provide any concrete element allowing for the characterization of the existence of a serious and immediate harm to the overall economy, the sector, or the interest of consumers due to the practices it denounces;</w:t>
      </w:r>
    </w:p>
    <w:p>
      <w:r>
        <w:t xml:space="preserve">B. – ON THE SERIOUS AND IMMEDIATE HARM TO THE COMPLAINING COMPANY </w:t>
        <w:br/>
        <w:t>Considering that, regarding the harm to its interests, the referring company argues that it will lose much more than the revenues and margins it achieved in 2001 with the laboratories Lilly, Pfizer, and GlaxoSmithKline, its margins with these three laboratories having been in constant increase since the end of 2001; that it claims that the products subject to the refusals of sale that are opposed to it are not substitutable; that, moreover, the products are regularly renewed; that therefore, if the "major laboratories of this industry" refuse to work with it, a large part of the new molecules is denied to it; that this is the case with the MSD laboratory which delivers to it discriminatory quantities of old products and refuses to deliver the new ones; that it finally argues that if no interim measures are granted to it, its company will suffer a loss of more than one million euros by the end of the current semester, which will quickly lead it to bankruptcy;</w:t>
      </w:r>
    </w:p>
    <w:p>
      <w:r>
        <w:t>But considering, firstly, that a loss of earnings is insufficient to constitute a serious and immediate harm; that, while Pharmajet argues that the behaviors it denounces result in a loss of revenue of 64.9 MF with Lilly, 25.1 MF with Pfizer (for four months), and 111.5 MF with GlaxoSmithKline, a loss of gross margin of 4.2 MF with Lilly, 4.8 MF with Pfizer, and 4.2 MF with GlaxoSmithKline, and that the amount of its purchases varied from 104.5 MF in 1999, 66.8 MF in 2000, and 58 MF in 2001 with Lilly, from 69.2 MF in 2000 and 20.5 MF in 2001 with Pfizer, and from 9.3 MF in 1999, 22.3 MF in 2000, and 16.8 MF in 2001 with Glaxo-Wellcome while it has varied little (16.8 MF in 1999, 16.8 MF in 2000, and 15.5 MF in 2001) with MSD, its total revenue is expanding; that indeed, the income statements it has produced show a total revenue of 301 MF for the fiscal year 1999 and 427 MF for the fiscal year 2000; that concerning the fiscal year 2001, it indicates that its total revenue amounts to 431 MF; that furthermore, it cannot invoke the losses it will incur due to medications that become generics;</w:t>
      </w:r>
    </w:p>
    <w:p>
      <w:r>
        <w:t>Considering, secondly, that while Pharmajet cannot substitute an ordered medication for another to the extent that its clients have an import license for each product they purchase, it does not provide, however, any indication or element establishing that it could not compensate for the loss of revenue it suffers with the laboratories Lilly, Pfizer, GlaxoSmithKline; that regarding the laboratories MSD, it does not provide any indication allowing for the assessment of the harm it could suffer, other than the amounts of its purchases for the years 1999, 2000, and 2001; that these purchases amounted to 16.84 MF in 1999, 16.86 MF in 2000, and 15.50 MF in 2001;</w:t>
      </w:r>
    </w:p>
    <w:p>
      <w:r>
        <w:t xml:space="preserve">Considering that all of the preceding elements are not sufficient to establish that the practices denounced by the referring party cause a serious and immediate harm to the economy in general, to the sector concerned, to the interest of consumers, or to Pharmajet itself, necessitating the adoption of emergency measures; that consequently, the requests for interim measures registered under numbers 02/0020 M and 02/0032 M must be rejected. </w:t>
        <w:br/>
        <w:t xml:space="preserve">DECIDES </w:t>
        <w:br/>
        <w:t>Article 1: The requests for interim measures registered under numbers 02/0020/M and 02/0032/M are rejected.</w:t>
      </w:r>
    </w:p>
    <w:p>
      <w:r>
        <w:t xml:space="preserve">Deliberated, on the oral report of Ms. de Mallmann, by Mr. Jenny, vice-president, presiding over the session, Messrs. Gauron, Lasserre, and Robin, members. </w:t>
        <w:br/>
        <w:t xml:space="preserve">The secretary of the session, The vice-president, presiding over the session </w:t>
        <w:br/>
        <w:t xml:space="preserve">Anne Frédéric-Moreau Frédéric Jenny </w:t>
        <w:br/>
        <w:t>Ó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