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https://www.autoritedelaconcurrence.fr/fr/decision/relative-aux-pratiques-anticoncurrentielles-concernant-le-demenagement-des-militaires-dans</w:t>
      </w:r>
    </w:p>
    <w:p>
      <w:r>
        <w:t>Pages translated : 20</w:t>
      </w:r>
    </w:p>
    <w:p/>
    <w:p>
      <w:r>
        <w:rPr>
          <w:b/>
        </w:rPr>
        <w:t>[Pages 1–3]</w:t>
      </w:r>
    </w:p>
    <w:p>
      <w:r>
        <w:t>the name: Plassard instead of Plassart. In a file (concerning Mr. Décaudin), the second estimate bore the letterhead of the company Aubry transport and moving. The client states that he did not contact this company, whose estimate is also drafted in a summary manner. 4. The SARL Bonjean A move was carried out by this company (concerning Mr. Dalongeville)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w:t>
      </w:r>
    </w:p>
    <w:p>
      <w:r>
        <w:rPr>
          <w:b/>
        </w:rPr>
        <w:t>[Pages 4–6]</w:t>
      </w:r>
    </w:p>
    <w:p>
      <w:r>
        <w:t>the name that was made on the estimate of the company Biard-Solodem (Plassard instead of Plassart). In a file (concerning Mr. Décaudin), the second estimate bore the letterhead of the company Aubry transport and moving. The client states that he did not contact this company, whose estimate is also drafted in a summary manner. 4. The SARL Bonjean A move was carried out by this company (concerning Mr. Dalongeville) for which the second estimate bore the letterhead of the company Plisson. The client states that he had no personal contact with this latter company, whose estimate with summary content was given to him by his mover. 5. The company Eric Boulouard Two moves (concerning Messrs. Le Bot and Jouannic) were carried out by this company for which the second estimate bore the letterhead of the company Lescoublet moving. In these two cases, the clients state that their mover took care of providing the two necessary estimates; these statements are contested by the representatives of the company Eric Boulouard as well as those of the company Lescoublet moving. Regarding the move carried out on behalf of Mr. Le Bot, a gendarme, these facts are also contested by the representatives of the company Plisson, of which Mr. Boulouard has been the manager since 1991, and who acted as an intermediary for the preparation of this file. 6. The SA Etablissements Dubreuil Eleven moves were carried out by this company but only ten were the subject of investigations within the framework of the inquiry as delineated by the agents of the DGCCRF (the eleventh file did not reveal any abnormal elements in itself). Five files were retained in support of the notified grievances. In a file (concerning Mr. Loeuillet), the second estimate bore the letterhead of the SA Tison; this document reveals multiple oversights (absence of delivery location, loading date not corresponding to the client's wish, evaluation of the volume "according to the client"). It is the company Ets Dubreuil that, at the client's request, initiated the contact that allowed the company Tison to make an offer; In two files (concerning Messrs. Tang and Robert), the second estimate bore the letterhead of the SARL France inter moving (FID); only the file related to the Tang move was retained in support of the notified grievance because, in this case, the moving candidate admitted to having requested and received from the company Ets Dubreuil the provision of the two necessary estimates for the preparation of his file; In a file (concerning Mr. Lucciardi), the second estimate bore the letterhead of the SA Transcatalogne Badie (TB) which the client claims to have never personally contacted. This fact is contested by the company TB which asserts that it was put in contact with the client through the company Ets Dubreuil. Furthermore, it is established that the belongings of the moving candidate were, at the time of the negotiation, stored in the warehouse of the company Ets Dubreuil. In the other four files, the second estimate bore the letterhead of the company Lescoublet moving which is known to the Etablissements Dubreuil since it also works on behalf of SERNAM. Two clients state that they did not personally contact this company, one did not respond to the inquiry and the last would have consulted another company but cannot remember its name. Only the first two files were retained in support of the notified grievance (concerning Messrs. Lagadec and Leblond). Throughout all of his files, Mr. Dubreuil stated that, at the risk of losing a client, he does not agree to follow up on the request for a second estimate. 7. The SA Lescoublet moving Twelve moves were carried out by this company but only ten were the subject of investigations within the framework of the inquiry as delineated by the agents of the DGCCRF (the other two files did not reveal any abnormal elements in themselves); three files were ultimately retained in support of the notification of grievances. In two files out of seven (concerning Messrs. Le Meur and Le Queré), the second estimate bore the letterhead of the SARL Plisson and the concerned agents state that the company Lescoublet took care of providing the second estimate; moreover, regarding the Le Queré file, both offers contain the same spelling mistake: Queré instead of Le Queré. In a file (concerning Mr. Rodet), the second estimate bore the letterhead of the company Bertholom moving and, according to the client, it was provided by the company Lescoublet moving. The same spelling mistake on the name of the destination city (Guers instead of Guer) is found in both estimates. 8. The SARL Plisson which became the company Boulouard moving The SARL Plisson, sometimes referred to as Plisson-Boulouard, merged, effective December 31, 1994, by absorption of the companies "Déménagements transports Lafage" and "Transports Louis Mestric"; from the same date, it adopted the new name "Boulouard moving"; it is undisputed that this latter company ensures the economic and functional continuity of the SARL Plisson; Fifteen moves were carried out by this company and nine files were retained in support of the grievance. When questioned by the investigators, the staff of the company Eric Boulouard and the company Boulouard moving, of which Mr. Boulouard has been the manager since 1991, stated that they never provide or request estimates from a second company. However, the investigation allowed for the recording that: In two files (concerning Messrs. Debuyser and Desmoutier), the second estimate bore the letterhead of the company Eric Boulouard and both clients acknowledge that the company Plisson constituted the entire file; however, Mr. Debuyser would have consulted several companies; moreover, for the move concerning Mr. Desmoutier, this name is spelled "Demoutier" in both estimates and the person who conducted the home visit on behalf of the company Plisson (Mr. Lemaire) is actually an employee of the company Eric Boulouard. In four files, the second estimate bore the letterhead of the company Lescoublet moving. In three files out of four (concerning Messrs. Becquet, Loquet, Mercereau), it appears that the clients did not themselves request a second estimate and relied on the company Plisson. In a fourth file, while the client states that he contacted both companies, there are nevertheless similarities between the two estimates that may cast doubt on the reality of the competition. First, the surname is spelled "Ferrer" twice instead of "Ferrere" and then corrected, in both estimates, with ink and handwriting that look very similar; furthermore, the name of the street is itself spelled "Solaire" instead of "Solair". In two files (concerning Messrs. Camuzeaux and Juignet), the second estimate bore the letterhead of the company Biard-Solodem and the clients state that they did not personally contact a second company. In a file (concerning Mr. L’Huillier), where the second estimate bore the letterhead of the SA transport Roussel - office in Vannes -, sometimes referred to as Demeco Roussel, the client admits that he did not contact a second company. It is also noted that there is a spelling mistake on the name (Lhuillier instead of L’Huillier) and if all the individuals from the company transport Roussel heard by the investigators state that they do not respond to requests for estimates made by companies, they do not explain the presence of an estimate from their company in the L’Huillier file. The grievance of collusive practices of cover estimates has been notified to the companies AGS Armorique, transport moving Aubry, moving Bertholom, Biard-Solodem, Bonjean, Eric Boulouard, Debure, Ets Dubreuil, France inter moving, Juin international, moving Le Golvan, moving Lescoublet, NDI, ODET, Boulouard moving, transport Roussel, Tison and Transcatalogne Badie. II. - Based on the preceding findings, the Council, On the procedure Regarding the application of the amnesty law Considering that the companies moving Bertholom, France inter moving, moving Le Golvan, transport Roussel and Tison request that the amnesty law No. 95-884 of August 3, 1995 be applied to them; But considering that the practices prohibited by Article 7 of the ordinance of December 1, 1986 can only be subject to administrative sanctions before the Competition Council which, by their nature distinct from criminal sanctions, cannot be assimilated to them in their legal consequences; it follows that the practices in question do not fall within the scope of the aforementioned amnesty law; Regarding the statute of limitations Considering that two companies assert that the facts for which they are reproached would be time-barred; Considering, first of all, that the company CESAG argues that no interruptive act would be opposable to it since it does not ensure the economic and functional continuity of the company Biard-Solodem and that, in any case, it was only informed of the facts of the case through a notification of grievances.</w:t>
      </w:r>
    </w:p>
    <w:p>
      <w:r>
        <w:rPr>
          <w:b/>
        </w:rPr>
        <w:t>[Pages 7–9]</w:t>
      </w:r>
    </w:p>
    <w:p>
      <w:r>
        <w:t>la DGCCRF que les entreprises ont échangé des devis de couverture ; que ces échanges ont été réalisés dans le but de s'entendre sur les prix et les conditions des déménagements, ce qui constitue une pratique anticoncurrentielle ; que les éléments recueillis lors de l'enquête montrent que ces pratiques ont été mises en œuvre de manière systématique et organisée ; que, par conséquent, il y a lieu de conclure à l'existence d'une entente entre les entreprises concernées ;</w:t>
      </w:r>
    </w:p>
    <w:p>
      <w:r>
        <w:t>Considérant que les entreprises AGS Armorique, transports déménagements Aubry, Juin international et TB contestent les faits qui leur sont reprochés ; qu'elles soutiennent que les échanges de devis de couverture ne constituent pas une entente au sens du droit de la concurrence ; qu'elles avancent que ces échanges étaient nécessaires pour répondre à des demandes spécifiques de clients et que, par conséquent, ils ne portent pas atteinte à la concurrence ;</w:t>
      </w:r>
    </w:p>
    <w:p>
      <w:r>
        <w:t>Considérant toutefois que cette argumentation ne saurait être retenue ; que les échanges de devis de couverture, tels qu'établis par les éléments de preuve, visent à fausser la concurrence en fixant des prix et en limitant la liberté des entreprises de proposer leurs propres tarifs ; que, dès lors, ces pratiques sont contraires aux dispositions de l'article L. 420-1 du Code de commerce ;</w:t>
      </w:r>
    </w:p>
    <w:p>
      <w:r>
        <w:t>Considérant que, par ailleurs, les entreprises mises en cause n'ont pas apporté d'éléments suffisants pour justifier la légitimité de leurs pratiques ; qu'elles n'ont pas démontré que ces échanges étaient indispensables à la bonne marche de leur activité ou qu'ils étaient justifiés par des raisons objectives ; qu'en conséquence, il y a lieu de retenir que les pratiques en cause constituent une violation des règles de concurrence ;</w:t>
      </w:r>
    </w:p>
    <w:p>
      <w:r>
        <w:t>Considérant enfin que les entreprises AGS Armorique, transports déménagements Aubry, Juin international et TB doivent être sanctionnées pour leur participation à cette entente ; que la gravité des faits et leur impact sur le marché justifient l'imposition de sanctions financières ; qu'il convient donc de prononcer à leur encontre des amendes proportionnées à la gravité des infractions commises.</w:t>
      </w:r>
    </w:p>
    <w:p>
      <w:r>
        <w:rPr>
          <w:b/>
        </w:rPr>
        <w:t>[Pages 10–12]</w:t>
      </w:r>
    </w:p>
    <w:p>
      <w:r>
        <w:t>couverture est établie ; que, par conséquent, sur les 39 dossiers examinés, 36 d'entre eux ont donné lieu à la pratique du devis de couverture, ce qui démontre l'existence d'une entente entre les entreprises de déménagement concernées ; que cette entente a pour effet de fausser le jeu de la concurrence et de nuire aux candidats au déménagement qui, en raison de cette pratique, ne peuvent pas bénéficier d'offres réellement concurrentielles ; qu'il en résulte que les entreprises impliquées dans cette pratique doivent être sanctionnées conformément aux dispositions légales en vigueur.</w:t>
      </w:r>
    </w:p>
    <w:p>
      <w:r>
        <w:rPr>
          <w:b/>
        </w:rPr>
        <w:t>[Pages 13–15]</w:t>
      </w:r>
    </w:p>
    <w:p>
      <w:r>
        <w:t>to prendre en compte le chiffre d’affaires de l’entreprise dans son ensemble, y compris les activités connexes, pour évaluer la gravité des faits reprochés et déterminer le montant des sanctions ; qu’en conséquence, le Conseil doit considérer le chiffre d’affaires global des entreprises concernées pour le calcul des sanctions pécuniaires ;</w:t>
      </w:r>
    </w:p>
    <w:p>
      <w:r>
        <w:t>Considérant que, par ailleurs, les entreprises doivent être conscientes que la prise en compte d’un chiffre d’affaires limité à une seule activité pourrait conduire à une sous-estimation des conséquences économiques de leurs pratiques anticoncurrentielles ; que, dès lors, il est justifié de retenir le chiffre d’affaires total pour l’évaluation des sanctions ;</w:t>
      </w:r>
    </w:p>
    <w:p>
      <w:r>
        <w:t>Considérant que, dans le cadre de l’évaluation des sanctions, le Conseil doit également tenir compte des efforts de coopération des entreprises avec l’administration et de leur volonté de se conformer aux règles de la concurrence ; que ces éléments peuvent être pris en considération pour atténuer le montant des sanctions ;</w:t>
      </w:r>
    </w:p>
    <w:p>
      <w:r>
        <w:t>Considérant que, en conclusion, le Conseil doit veiller à ce que les sanctions infligées soient à la fois dissuasives et proportionnées, en tenant compte de l’ensemble des circonstances de l’affaire, y compris la gravité des infractions, le chiffre d’affaires des entreprises et leur comportement face aux pratiques anticoncurrentielles ;</w:t>
      </w:r>
    </w:p>
    <w:p>
      <w:r>
        <w:t>Sur les mesures à prendre</w:t>
        <w:br/>
        <w:t>Considérant qu’il y a lieu d’ordonner la publication de la décision du Conseil dans les conditions prévues par la loi, afin d’informer le public des pratiques anticoncurrentielles constatées et des sanctions infligées ; que cette publication doit être effectuée dans un délai raisonnable après la notification de la décision aux parties ;</w:t>
      </w:r>
    </w:p>
    <w:p>
      <w:r>
        <w:t>Considérant que, par ailleurs, il convient d’informer les autorités compétentes des résultats de l’enquête menée par le Conseil, afin de garantir une meilleure application des règles de concurrence et de prévenir de futures infractions ;</w:t>
      </w:r>
    </w:p>
    <w:p>
      <w:r>
        <w:t>Considérant enfin que le Conseil se réserve le droit de procéder à des contrôles ultérieurs pour s’assurer du respect des décisions prises et de l’absence de pratiques anticoncurrentielles dans le secteur concerné.</w:t>
      </w:r>
    </w:p>
    <w:p>
      <w:r>
        <w:rPr>
          <w:b/>
        </w:rPr>
        <w:t>[Pages 16–18]</w:t>
      </w:r>
    </w:p>
    <w:p>
      <w:r>
        <w:t>during the fiscal year 1998, the last available fiscal year; that its operating result for the same period was established at 1,200 KF; that based on the general and individual elements as assessed above, it is appropriate to impose a monetary sanction of 82,000 F on the company transports Roussel.</w:t>
      </w:r>
    </w:p>
    <w:p>
      <w:r>
        <w:rPr>
          <w:b/>
        </w:rPr>
        <w:t>[Pages 19–20]</w:t>
      </w:r>
    </w:p>
    <w:p>
      <w:r>
        <w:t>during the fiscal year ending in March 1997, the last available fiscal year; that its operating result for the same period was (-366 KF); that based on the general and individual elements as assessed above, it is appropriate to impose a financial penalty of 32,000 F on the company Roussel; Regarding the company Aubry transport and moving Considering that the company Aubry transport and moving (move Decaudin) issued a coverage estimate; Considering that this company achieved in France during the fiscal year 1998, the last available fiscal year, a turnover excluding taxes of 7,095 KF; that the operating result for the same period was 176 KF; that based on the general and individual elements as assessed above, it is appropriate to impose a financial penalty of 14,190 F on the company Aubry transport and moving; Regarding the company Tison Considering that the company Tison (move Loeuillet) issued a coverage estimate; Considering that the company Tison achieved in France a turnover excluding taxes of 11,797 KF during the fiscal year ending in September 1998, the last available fiscal year; that its operating result for the same period was 67 KF; that based on the general and individual elements as assessed above, it is appropriate to impose a financial penalty of 23,600 F on the company Tison; m) Regarding the company France inter déménagements Considering that the company France inter déménagements (move Tang) issued a coverage estimate; Considering that the company France inter déménagements achieved in France a turnover excluding taxes of 4,374 KF during the fiscal year 1998, the last available fiscal year; that its operating result for the same period was 62 KF; that based on the general and individual elements as assessed above, it is appropriate to impose a financial penalty of 8,750 F on the company France inter déménagements; Regarding the other penalties Considering that to strengthen the effectiveness of the measures that the Ministry of Defense and the companies declared, at the hearing, to have taken to effectively prevent any new attempt to restrict or distort competition, it is appropriate to inform the military personnel participating in these moving operations of the illicit nature of these practices and the penalties imposed on the companies that engage in them; that it is appropriate to order the publication of this decision to the companies referred to in Article 2 of this decision, at common expense and in proportion to the financial penalties imposed on them, in the magazine "Armée d’aujourd’hui," a monthly published by the Ministry of Defense, accepting advertising and specifically intended for the information of military personnel, Decides: Article 1.- It is established that the companies AGS Armorique, Aubry transport and moving, CESAG (in the rights of the company Biard-Solodem), Bertholom moving, Eric Boulouard, Boulouard moving (in the rights of the company Plisson), Debure, Ets Dubreuil, France inter déménagements, Juin international, Le Golvan moving, Lescoublet moving, Roussel transport and Tison have violated the provisions of Article 7 of the ordinance of December 1, 1986. Article 2.- The following financial penalties are imposed, based on the facts examined in this decision: 6,660 F on the company AGS Armorique; 38,680 F on the company Bertholom moving; 1,020 F on the company Eric Boulouard; 25,000 F on the company Ets Dubreuil; 15,000 F on the company Juin international; 49,870 F on the company Lescoublet moving; 289,760 F on the company Boulouard moving; 19,220 F on the company Debure; 7,960 F on the company Le Golvan moving; 32,000 F on the company Roussel transport; 14,190 F on the company Aubry transport and moving; 23,600 F on the company Tison; 8,750 F on the company France inter déménagements. Article 3.- Within three months from the notification of this decision, the companies referred to in Article 2 above shall publish the full text of this decision, at common expense and in proportion to the financial penalties, in the monthly magazine "Armée d’aujourd’hui." Deliberated, on the oral report of Mr. Grandval, by Mr. Jenny, vice president, presiding over the session, Ms. Boutard-Labarde, Messrs. Bargue, Nasse, and Robin, members. The secretary of the session, The vice-president, presiding over the session, Sylvie Grando Frédéric Jenny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