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https://www.autoritedelaconcurrence.fr/fr/decision/relative-aux-pratiques-de-la-societe-scori-et-des-cimentiers-lafarge-calcia-et-vicat-dans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02-D-70 of November 27, 2002  </w:t>
        <w:br/>
        <w:t xml:space="preserve">concerning the practices of the company Scori and the cement manufacturers Lafarge, Calcia, and Vicat  </w:t>
        <w:br/>
        <w:t xml:space="preserve">in the sector of used oils  </w:t>
        <w:br/>
        <w:t xml:space="preserve">The Competition Council (standing committee),  </w:t>
        <w:br/>
        <w:t xml:space="preserve">Having regard to the letter registered on October 9, 1996, under number F 909, by which the Minister Delegate for Finance and Foreign Trade referred to the Competition Council a case concerning the practices of the company Scori and the cement manufacturers Lafarge, Calcia, and Vicat in the sector of used oils;  </w:t>
        <w:br/>
        <w:t xml:space="preserve">Having regard to Book IV of the Commercial Code, relating to the freedom of prices and competition, Decree No. 86-1309 of December 29, 1986, as amended, setting the conditions for the application of Ordinance No. 86-1243 of December 1, 1986, as well as Decree No. 2002-689 of April 30, 2002, setting the conditions for the application of Book IV of the Commercial Code;  </w:t>
        <w:br/>
        <w:t xml:space="preserve">Having regard to the observations presented by the Government Commissioner;  </w:t>
        <w:br/>
        <w:t xml:space="preserve">Having regard to the other documents in the case;  </w:t>
        <w:br/>
        <w:t xml:space="preserve">The rapporteur, the deputy general rapporteur, and the Government Commissioner heard during the session of October 29, 2002;  </w:t>
        <w:br/>
        <w:t xml:space="preserve">Considering that the Minister, by letter registered on October 9, 1996, referred to the Competition Council facts that he denounces as constituting practices contrary to Articles 7 and 8 of the 1986 Ordinance which have become L. 420-1 and L. 420-2 of the Commercial Code;  </w:t>
        <w:br/>
        <w:t xml:space="preserve">Considering that Article L. 462-7 of the Commercial Code provides that: "The Council cannot be seized of facts dating back more than three years if no act has been made to seek, establish, or sanction them";  </w:t>
        <w:br/>
        <w:t>Considering that, since the referral registered on October 9, 1996, no act has been made to seek, establish, or sanction the facts referred to in the referral; that more than three years have therefore elapsed without the course of the limitation being interrupted; that, the limitation being thus acquired as of October 9, 1999, it is appropriate to state that there is no need to continue the procedure;</w:t>
      </w:r>
    </w:p>
    <w:p>
      <w:r>
        <w:t xml:space="preserve">DECIDES  </w:t>
        <w:br/>
        <w:t xml:space="preserve">Sole Article - There is no need to continue the procedure.  </w:t>
        <w:br/>
        <w:t xml:space="preserve">Deliberated, on the oral report of Mr. Fontaine, by Mrs. Hagelsteen, President, Mrs. Pasturel, Vice-President, Mr. Jenny, Vice-President.  </w:t>
        <w:br/>
        <w:t xml:space="preserve">The Secretary of the Session The President  </w:t>
        <w:br/>
        <w:t xml:space="preserve">Thierry Poncelet Marie-Dominique Hagelsteen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