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https://www.autoritedelaconcurrence.fr/fr/decision/relative-aux-pratiques-mises-en-oeuvre-par-la-federation-francaise-de-squash</w:t>
      </w:r>
    </w:p>
    <w:p>
      <w:r>
        <w:t>Pages translated : 2</w:t>
      </w:r>
    </w:p>
    <w:p/>
    <w:p>
      <w:r>
        <w:rPr>
          <w:b/>
        </w:rPr>
        <w:t>[Pages 1–2]</w:t>
      </w:r>
    </w:p>
    <w:p>
      <w:r>
        <w:t xml:space="preserve">FRENCH REPUBLIC  </w:t>
        <w:br/>
        <w:t xml:space="preserve">Decision No. 03-D-08 of February 12, 2003  </w:t>
        <w:br/>
        <w:t xml:space="preserve">regarding practices implemented by the French Squash Federation  </w:t>
        <w:br/>
        <w:t xml:space="preserve">The Competition Council (permanent commission),  </w:t>
        <w:br/>
        <w:t xml:space="preserve">Having regard to the letter registered on April 9, 1996, under numbers F 866 and M 184, by which the limited liability company Intec Innovations referred to the Competition Council practices implemented by the French Squash Federation concerning the approval procedure for squash court builders;  </w:t>
        <w:br/>
        <w:t xml:space="preserve">Having regard to Book IV of the Commercial Code relating to the freedom of prices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w:t>
        <w:br/>
        <w:t xml:space="preserve">Having regard to Decision No. 96-MC-06 of June 19, 1996, which rejected the request for interim measures from Intec Innovations; Intec Innovations having been regularly summoned;  </w:t>
        <w:br/>
        <w:t xml:space="preserve">Having regard to the other documents in the file;  </w:t>
        <w:br/>
        <w:t xml:space="preserve">The rapporteur, the deputy general rapporteur, the Government Commissioner heard during the session of December 10, 2002;  </w:t>
        <w:br/>
        <w:t xml:space="preserve">1. By letter registered on April 9, 1996, Intec Innovations referred to the Competition Council practices implemented by the French Squash Federation, relating to the approval procedure for squash court builders, which it considers anti-competitive.  </w:t>
        <w:br/>
        <w:t xml:space="preserve">2. Article L. 462-7 of the Commercial Code, reiterating the provisions of Article 27 of Ordinance No. 86-1243 of December 1, 1986, states that: "The Council cannot be seized of facts dating back more than three years if no act has been made to seek, establish or sanction them."  </w:t>
        <w:br/>
        <w:t xml:space="preserve">3. In this case, since May 28, 1997, the date on which the administrative investigation report transmitted by the Directorate General for Competition, Consumer Affairs and Fraud Control was registered with the Competition Council, a period of more than three years has elapsed without the course of prescription being interrupted by an act aimed at seeking, establishing or sanctioning the reported facts. Furthermore, no element in the file allows us to consider that the reported facts can be qualified as continuous practices.  </w:t>
        <w:br/>
        <w:t>4. The prescription is therefore acquired, in application of Article L. 462-7 of the Commercial Code, and there is consequently no reason to continue the procedure.</w:t>
      </w:r>
    </w:p>
    <w:p>
      <w:r>
        <w:t xml:space="preserve">DECIDES  </w:t>
        <w:br/>
        <w:t xml:space="preserve">Sole Article - There is no reason to continue the procedure.  </w:t>
        <w:br/>
        <w:t xml:space="preserve">Deliberated, on the oral report of Mr. Fontaine, by Ms. Hagelsteen, President, Ms. Pasturel, Vice-President, Mr. Nasse, Vice-President.  </w:t>
        <w:br/>
        <w:t xml:space="preserve">The session secretary, The President,  </w:t>
        <w:br/>
        <w:t xml:space="preserve">Valérie Perroux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