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https://www.autoritedelaconcurrence.fr/fr/decision/relative-aux-pratiques-mises-en-oeuvre-par-la-societe-renault-et-le-groupement-des</w:t>
      </w:r>
    </w:p>
    <w:p>
      <w:r>
        <w:t>Pages translated : 14</w:t>
      </w:r>
    </w:p>
    <w:p/>
    <w:p>
      <w:r>
        <w:rPr>
          <w:b/>
        </w:rPr>
        <w:t>[Pages 1–3]</w:t>
      </w:r>
    </w:p>
    <w:p>
      <w:r>
        <w:t>FRENCH REPUBLIC</w:t>
        <w:br/>
        <w:t>Decision No. 03-D-66 of December 23, 2003</w:t>
        <w:br/>
        <w:t>regarding practices implemented</w:t>
        <w:br/>
        <w:t>by the company Renault and the Group of Renault Dealers (GCR)</w:t>
        <w:br/>
        <w:t>in the automotive distribution sector</w:t>
        <w:br/>
        <w:t>The Competition Council (section III B),</w:t>
        <w:br/>
        <w:t>Considering the letters registered on April 5, 1995, April 14, 1995, and August 28, 1995 under number F 753, by which the European Automobile Professionals Union (SPEA) referred to the Competition Council a case concerning practices implemented by automobile manufacturers, dealers, their groups, and their professional organizations in the automotive distribution sector;</w:t>
        <w:br/>
        <w:t>Considering the treaty dated March 25, 1957 as amended establishing the European Community;</w:t>
        <w:br/>
        <w:t>Considering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w:t>
        <w:br/>
        <w:t>Considering Decision No. 01-DSA-16 dated November 21, 2001, by which the President of the Competition Council applied the provisions of Article L. 463-3 of the Commercial Code;</w:t>
        <w:br/>
        <w:t>Considering the decision made on May 26, 2003, by the General Rapporteur based on Article 31 of the aforementioned decree of April 30, 2002, to separate this referral into three cases at the report stage; case F 753-1 being related to the grievances notified to the company Renault and the GCR;</w:t>
        <w:br/>
        <w:t>Considering the other documents in the file;</w:t>
        <w:br/>
        <w:t>Considering the observations presented by the SPEA, the company Renault, the Group of Renault Dealers (GCR), and the Government Commissioner;</w:t>
        <w:br/>
        <w:t>The Rapporteur, the Deputy General Rapporteur, the Government Commissioner, representatives of the SPEA, the company Renault, and the GCR heard during the session of November 4, 2003;</w:t>
        <w:br/>
        <w:t>Adopts the following decision:</w:t>
        <w:br/>
        <w:t>I.- Findings</w:t>
        <w:br/>
        <w:t>1. The European Automobile Professionals Union (SPEA) brings together professionals in the automotive trade and repair. It has referred to the Competition Council practices that would be implemented by automobile manufacturers PSA and Renault, certain importers (Nissan), and the National Council of Automotive Professions (CNPA) which would aim to limit imports outside the network.</w:t>
      </w:r>
    </w:p>
    <w:p>
      <w:r>
        <w:t>A. THE RELEVANT SECTOR</w:t>
        <w:br/>
        <w:t>1. Automotive Distribution</w:t>
        <w:br/>
        <w:t>2. With 2,025,000 vehicles sold in 1997, including 1,713,000 for passenger vehicles, the French market ranks second among European automotive markets.</w:t>
        <w:br/>
        <w:t>3. That same year, French manufacturers, Peugeot and Renault, accounted for approximately 55% of sales in the French passenger vehicle market, a slight decrease compared to previous years. Among importers, the Volkswagen group holds the top position with a market share of 11.2%, followed by Ford (8.1%), General Motors (6.9%), Fiat (6.7%), and Japanese manufacturers (4.4%). Reimported vehicles from national manufacturers represent only a small, difficult-to-quantify share of the vehicles sold.</w:t>
        <w:br/>
        <w:t>4. The distribution of automobiles is ensured in France and abroad, either by branches or subsidiaries of manufacturers, or by a network of mostly exclusive dealers. This is complemented by a fairly dense network of agents linked to the dealers.</w:t>
        <w:br/>
        <w:t>5. Between 1994 and 1997, Renault's market share was estimated between 27% and 30%. During this period, Renault's distribution network included nearly 6,000 distributors, with a very large majority being agents (page 284 of the report). The Group of Renault Dealers (GCR) has a threefold mission: to organize relations between the manufacturer (including credit subsidiaries) and its network, to provide services to its members, and to represent the network to companies such as oil companies, banks, etc. The Secretary General of the GCR stated on February 10, 1998: "The GCR is an association under the 1901 law that brings together 90 to 95% of Renault dealers." (page 408 of the report).</w:t>
        <w:br/>
        <w:t>6. Non-network resellers also intervene in automotive distribution. In particular, due to price differences existing between different European countries, a portion of vehicles exported by national manufacturers is reimported by independent distributors, mandated by a final customer or not. In its referral, the SPEA estimates that operations carried out by independent traders, either by acquiring vehicles from a French dealer or a related company, or by parallel import from a community dealer acting as a trader or agent, account for approximately 10% of the market.</w:t>
        <w:br/>
        <w:t>7. The following table presents an estimate of the number of reimported Renault vehicles:</w:t>
        <w:br/>
        <w:t>Table 1. Figures gathered during the investigation</w:t>
        <w:br/>
        <w:t>1994 1995 1996 1997</w:t>
        <w:br/>
        <w:t>Renault Sales 743,115 723,787 720,427 605,713</w:t>
        <w:br/>
        <w:t>in France</w:t>
        <w:br/>
        <w:t>Reimports of 2.6% 3.2% 1.8% 0.7%</w:t>
        <w:br/>
        <w:t>vehicles, expressed</w:t>
        <w:br/>
        <w:t>as a % of sales in</w:t>
        <w:br/>
        <w:t>France1</w:t>
        <w:br/>
        <w:t>Estimate of 19,320 23,160 12,966 4,239</w:t>
        <w:br/>
        <w:t>number of vehicles</w:t>
        <w:br/>
        <w:t>reimported</w:t>
        <w:br/>
        <w:t>1 Annex 26, page 943 of the report</w:t>
      </w:r>
    </w:p>
    <w:p>
      <w:r>
        <w:t>2. The Community Regulatory Framework.</w:t>
        <w:br/>
        <w:t>8. Like Regulation 123/85 which it replaced, Regulation 1475/95 of June 28, 1995, establishes the principle of exemption for certain exclusive or selective distribution agreements for the sale and after-sales services of motor vehicles. According to the first recital of this regulation, these are agreements by which "the supplier contracting party entrusts the reseller contracting party with promoting in a specified territory the distribution and after-sales service of certain products in the motor vehicle sector and by which the supplier commits to the distributor to deliver in the agreed territory the contractual products for resale only to a limited number of enterprises within the distribution network."</w:t>
        <w:br/>
        <w:t>9. The exemption provided by this regulation is justified in the statement of principles in these terms: "clauses concerning exclusive and selective distribution can be considered rational and necessary in the motor vehicle sector, which consists of durable goods requiring regular maintenance and specialized repairs at unpredictable times and in variable locations. Automobile manufacturers cooperate with selected distributors and workshops to ensure a sales and after-sales service specially adapted to the product. Even for reasons of capacity and efficiency, such cooperation cannot be extended to an unlimited number of distributors and workshops."</w:t>
        <w:br/>
        <w:t>10. Therefore, concession contracts may prohibit dealers from selling to unauthorized resellers (Article 3-10 of the regulation) vehicles of other brands, unless the sales occur in separate premises (Article 3-3 of the regulation), and from actively competing outside their exclusive territory (Article 3-8).</w:t>
        <w:br/>
        <w:t>11. On the other hand, the regulation does not allow the manufacturer to prohibit dealers from delivering products to final consumers or their mandated intermediaries (Article 6-7). The exemption also does not apply when the supplier, without objectively justified reason, grants distributors remuneration calculated based on the destination of the resold motor vehicles or the residence of the buyer (Article 6-8).</w:t>
        <w:br/>
        <w:t>12. Furthermore, the Commission may withdraw the benefit of the application of the regulation if it finds that, in a specific case, an exempt agreement has certain effects that are incompatible with the conditions set out in Article 85 paragraph 3 of the treaty. This is particularly the case when the manufacturer applies discriminatory prices or sales conditions without objective justifications (Article 8-3).</w:t>
        <w:br/>
        <w:t>13. The issues raised by the application of these provisions have been the subject of significant national and community litigation and preliminary questions before the Court of Justice of the European Communities. In its judgment of February 15, 1995, Nissan France, the CJEU ruled that the provisions of the regulation exempting the prohibition of resale outside the network only concerned the relationships between automobile manufacturers and their dealers and did not render illegal the sales of independent traders. In the "Grand Garage Albigeois" judgment of the same day, it held that, for the same reasons, this regulation did not oppose an independent operator combining the activities of a mandated intermediary and those of an unauthorized reseller of vehicles from parallel imports.</w:t>
      </w:r>
    </w:p>
    <w:p>
      <w:r>
        <w:rPr>
          <w:b/>
        </w:rPr>
        <w:t>[Pages 4–6]</w:t>
      </w:r>
    </w:p>
    <w:p>
      <w:r>
        <w:t>mêmes efforts que pour les autres modèles." Elle conclut en indiquant que "la politique de prix doit être maintenue, mais il est nécessaire d’adapter les actions commerciales pour soutenir le réseau face à cette concurrence accrue."</w:t>
      </w:r>
    </w:p>
    <w:p>
      <w:r>
        <w:t>25. Le 15 mars 1994, une note de la direction commerciale de Renault France a été adressée aux</w:t>
        <w:br/>
        <w:t>concessionnaires, précisant que "la politique de prix doit être rigoureusement respectée" et</w:t>
        <w:br/>
        <w:t>qu'il est "indispensable de ne pas céder aux pressions du marché qui pourraient entraîner des</w:t>
        <w:br/>
        <w:t>remises non autorisées." Cette note souligne également que "des sanctions seront appliquées</w:t>
        <w:br/>
        <w:t>à ceux qui ne respectent pas cette politique."</w:t>
      </w:r>
    </w:p>
    <w:p>
      <w:r>
        <w:t>26. En résumé, Renault a mis en place une stratégie de contrôle des prix pour les Twingo,</w:t>
        <w:br/>
        <w:t>visant à maintenir une image de marque forte et à protéger ses marges bénéficiaires, tout en</w:t>
        <w:br/>
        <w:t>réagissant aux défis posés par la concurrence et les pratiques de vente non conformes au</w:t>
        <w:br/>
        <w:t>règlement interne.</w:t>
      </w:r>
    </w:p>
    <w:p>
      <w:r>
        <w:rPr>
          <w:b/>
        </w:rPr>
        <w:t>[Pages 7–9]</w:t>
      </w:r>
    </w:p>
    <w:p>
      <w:r>
        <w:t>of the possibility of referring to the Conseil de la concurrence does not preclude the SPEA from taking such action, especially when it concerns the protection of the interests it represents.</w:t>
      </w:r>
    </w:p>
    <w:p>
      <w:r>
        <w:t>2. On the merits</w:t>
        <w:br/>
        <w:t>A) On the alleged anti-competitive practices</w:t>
        <w:br/>
        <w:t>37. The grievances notified to Automobiles Renault indicate that the company, in collaboration with its dealers and in agreement with the Groupement des Concessionnaires Renault (GCR), has implemented measures aimed at excluding automotive agents and independent resellers from the distribution of its vehicles. These measures include:</w:t>
        <w:br/>
        <w:t>• The granting of so-called border budget aids, in a specific and discriminatory manner, to dealers facing competition from agents and independent resellers;</w:t>
        <w:br/>
        <w:t>• The prohibition of all discounts on certain models (Scenic, Laguna, Twingo);</w:t>
        <w:br/>
        <w:t>• The marketing of special series to prevent these vehicles from being re-imported into France.</w:t>
      </w:r>
    </w:p>
    <w:p>
      <w:r>
        <w:t>B) On the impact of these practices</w:t>
        <w:br/>
        <w:t>38. The practices in question are likely to restrict competition in the market for the distribution of Renault vehicles, as they limit the ability of independent resellers and automotive agents to compete effectively. This could lead to higher prices for consumers and reduced choices in the market.</w:t>
      </w:r>
    </w:p>
    <w:p>
      <w:r>
        <w:t>39. Furthermore, the measures taken by Automobiles Renault may also have a negative impact on the overall market dynamics, as they create barriers to entry for new competitors and reinforce the position of existing dealers, potentially leading to a less competitive environment.</w:t>
      </w:r>
    </w:p>
    <w:p>
      <w:r>
        <w:t>C) On the justification of these practices</w:t>
        <w:br/>
        <w:t>40. Automobiles Renault and the GCR may argue that these practices are necessary to protect the brand image and ensure the quality of service provided to customers. However, such justifications must be carefully examined to determine whether they genuinely serve a legitimate business interest or whether they are merely a pretext for anti-competitive behavior.</w:t>
      </w:r>
    </w:p>
    <w:p>
      <w:r>
        <w:t>41. In conclusion, the evidence presented suggests that the practices implemented by Automobiles Renault, in collaboration with its dealers, may constitute a violation of competition law, warranting further investigation and potential sanctions.</w:t>
      </w:r>
    </w:p>
    <w:p>
      <w:r>
        <w:rPr>
          <w:b/>
        </w:rPr>
        <w:t>[Pages 10–12]</w:t>
      </w:r>
    </w:p>
    <w:p>
      <w:r>
        <w:t>de the possibility of taking legal action or before administrative authorities does not deprive the SPEA of this fundamental right.</w:t>
      </w:r>
    </w:p>
    <w:p>
      <w:r>
        <w:t>B) On the standing to act before the Council of the President of the SPEA</w:t>
      </w:r>
    </w:p>
    <w:p>
      <w:r>
        <w:t>37. The company Renault and the GCR assert that the president of the SPEA did not have the standing to refer the matter to the Competition Council. They argue that Article 31 of the statutes, which states: "The council is responsible for managing union affairs. It makes all decisions and measures on matters concerning the union, grants or refuses the bureau the authorizations it needs to act, gives the opinions it requests, pronounces the admission of new members, drafts the internal regulations for the execution of the statutes, prepares proposals to be submitted to the general assembly," designates only the board of directors as the decision-making body of the SPEA. They deduce that the president can only act on behalf of and for the SPEA, particularly by referring to the Competition Council, after having been duly authorized by the board of directors. In support of their argument, Renault cites the ruling of the Council of State of November 25, 2002, according to which the request presented by the president of a union who has not received authorization to act from the competent body is inadmissible.</w:t>
      </w:r>
    </w:p>
    <w:p>
      <w:r>
        <w:t>38. However, the aforementioned ruling of the Council of State concerned a public establishment of intermunicipal cooperation, which, under Articles L. 2122-21 and L. 2122-2 of the General Code of Local Authorities, can only take legal action after a decision by the deliberative assembly. No legislative provision governs the modalities of legal action for professional unions or associations; the case law of the Court of Cassation and the Council of State has established the principle that when statutes designate a body to represent an association or a union in court, they are presumed, in the absence of contrary provisions, to have granted it the power to decide to act. The Court of Cassation thus ruled, in a judgment of December 1, 1993, that "the power of representation includes, unless otherwise provided, the power to take legal action." In a ruling dated March 13, 1998, the Council of State adopted a similar analysis and ruled: "considering that in the absence, in the statutes of an association or union, of a stipulation expressly reserving to another body the capacity to decide to initiate action before the administrative judge, such action is regularly initiated by the body holding the same statutes the power to represent this association or union in court." The Competition Council is not a jurisdiction but an independent administrative authority. However, these principles may inspire the analysis to be made to determine, concerning associations or unions, the body or person authorized to bring the matter before it.</w:t>
      </w:r>
    </w:p>
    <w:p>
      <w:r>
        <w:t>39. In this case, Article 34 of the statutes provides that: "The president directs discussions in meetings of the bureau, the council, and the assembly. He monitors and ensures compliance with the statutes and internal regulations. He signs all acts, all measures, or all extracts of deliberations concerning the union, approves the expenditure documents to be paid, represents the union with third parties and public authorities. The president represents the union in court, either as a plaintiff, as a defendant, or as a civil party." In the absence of any other provision in the statutes, the power of representation before public authorities conferred on the president by Article 34 of the statutes must therefore be interpreted as including the power to act before the Competition Council.</w:t>
      </w:r>
    </w:p>
    <w:p>
      <w:r>
        <w:t>40. It follows from the above that the two arguments regarding the inadmissibility of the referral must be dismissed.</w:t>
      </w:r>
    </w:p>
    <w:p>
      <w:r>
        <w:t>41. There is no need to rule on the other procedural arguments.</w:t>
      </w:r>
    </w:p>
    <w:p>
      <w:r>
        <w:t>2. On the merits</w:t>
      </w:r>
    </w:p>
    <w:p>
      <w:r>
        <w:t>A) On the grievance concerning border budgets.</w:t>
      </w:r>
    </w:p>
    <w:p>
      <w:r>
        <w:t>42. The company Renault explains that it was compelled to implement the border budget system to support French dealers whose competitiveness was severely affected by price discrepancies in Europe. It argues that these price discrepancies were due to a series of factors affecting manufacturers, such as consumer behavior, changes in exchange rates, and fiscal disparities. The implementation of border budgets, according to it, aimed to achieve a threefold objective: to strengthen the competitiveness of French dealers by allowing them to set prices comparable to those of alternative offers; to enable customers to decide based on criteria other than just price by enhancing the quality of services offered by French dealers, namely local sales and after-sales services; to preserve the existence of the French network. The GCR makes similar arguments.</w:t>
      </w:r>
    </w:p>
    <w:p>
      <w:r>
        <w:t>43. The company Renault and the GCR also assert that border budgets have had the effect of increasing price competition. They contest that these aids could have obstructed the re-importation of vehicles and state that price differentials persisted and that these differentials continued to be exploited by agents. They assure that there are no links between the variations in the amounts granted under the border budgets and the level of re-importations of Renault vehicles. They further argue that the support provided did not allow French dealers to maintain their margin levels. They also contend that the system neither limited the freedom of supply of dealers nor introduced discrimination within the network.</w:t>
      </w:r>
    </w:p>
    <w:p>
      <w:r>
        <w:t>44. Finally, Renault and the GCR argue that the decision to establish border budgets was made unilaterally by Renault and cannot therefore be classified as a concerted action either with the members of its network or with the GCR.</w:t>
      </w:r>
    </w:p>
    <w:p>
      <w:r>
        <w:t>45. Specific commercial aids paid by a manufacturer to its dealers are not in themselves illegal. According to consistent case law (see in particular decisions No. 02-D-34 and 03-D-46 recently rendered by the Council), commercial aids granted by a company in a dominant position to its subsidiaries or clients are anti-competitive if they allow for predatory pricing or if the conditions under which these aids are granted are discriminatory or, more generally, if their granting conditions or amount are of such a nature that they establish an anti-competitive object or effect. However, at the time of the facts, the company Renault, in a leading position with 27 to 30% of the market, could not be considered to be in a dominant position in the French vehicle market.</w:t>
      </w:r>
    </w:p>
    <w:p>
      <w:r>
        <w:t>46. Furthermore, it follows from the provisions of Regulations No. 123/85 of December 12, 1984, and No. 1475/95 of June 28, 1995, concerning the application of Article 81.3 of the EC Treaty to categories of distribution and sales and after-sales service agreements for motor vehicles, as well as from the case law of the Community authorities on the application of these regulations, that the concession contracts concluded between manufacturers and their dealers and the conditions of their execution must not have the object or effect of restricting sales to final customers or their authorized intermediaries. Thus, the exemption provided for in Regulation No. 1473/95 does not apply when the supplier, without objectively justified reason, grants distributors remuneration calculated based on the destination of the resold motor vehicles or the residence of the buyer (Article 6-8 of the aforementioned regulation). The Court of First Instance of the European Communities thus ruled, in a judgment of October 21, 2003 (Opel), that it is prohibited for a manufacturer to seek to limit exports made by its dealers, notably by excluding the sales concerned from the benefit of retail bonuses, these practices having the effect of partitioning national markets and hindering the construction of a single European market.</w:t>
      </w:r>
    </w:p>
    <w:p>
      <w:r>
        <w:t>47. Moreover, the Commission may withdraw the benefit of the application of the regulation if it finds that, in a specific case, an exempted agreement has, however, certain effects that are incompatible with the conditions set out in Article 85, paragraph 3, of the treaty which has become Article 81 § 3. This is particularly the case when the manufacturer applies discriminatory prices or sales conditions without objective justifications (Article 8-3).</w:t>
      </w:r>
    </w:p>
    <w:p>
      <w:r>
        <w:t>48. However, in this case, the border budgets had neither the object nor the effect of restricting the commercial freedom of dealers but aimed to assist dealers whose activity was locally affected, in a significant way, by the development of parallel imports. It is permissible for a manufacturer to make a commercial effort towards its dealers to support its network, develop its sales, or prevent their decline. Furthermore, no element in the file establishes that the conditions for granting these aids were discriminatory.</w:t>
      </w:r>
    </w:p>
    <w:p>
      <w:r>
        <w:t>49. The negative effect of these aids on the functioning of competition in the national automobile distribution market or on intra-Community exchanges is also not evident from the elements of the file. Indeed, elements such as price reductions or the maintenance of the quality of service offered by dealers and by the entire network, whose density has thus been preserved and from which consumers have benefited, contribute to the stimulation of competition. Moreover, it is not demonstrated that the decrease in parallel imports is attributable to the implementation of border budgets; other explanations, such as the convergence of selling prices in Europe and the observed decrease in selling prices in France, are conceivable.</w:t>
      </w:r>
    </w:p>
    <w:p>
      <w:r>
        <w:t>50. It follows from the above that it is not established that the payment by the company Renault of aids under the "border budgets," for the benefit of dealers facing competition from agents and independent resellers, is contrary to the provisions of Article L. 420-1 of Book IV of the Commercial Code and Article 81 of the Treaty establishing the European Community.</w:t>
      </w:r>
    </w:p>
    <w:p>
      <w:r>
        <w:t>B) On the grievance concerning the prohibition of discounts regarding the Twingo, Scenic, and Laguna</w:t>
      </w:r>
    </w:p>
    <w:p>
      <w:r>
        <w:t>51. It appears from the elements described in paragraphs 22 to 27 that the company Renault implemented actions aimed at limiting the amount of discounts granted by distributors for the sale of the Twingo, Scenic, and Laguna models. The anti-discount plans concerning the Twingo were implemented from April 29, 1993, until January 1994. The note sent by Renault's commercial management on April 30, 1993, threatened dealers in these terms: "I will not tolerate any breach of this rule. I am determined to fight extremely firmly against all practices leading to the destabilization of our Network, and the DCZ have received very strict instructions to take immediate measures against dealers who do not respect the rules of the game." The anti-discount plans concerning the Scenic were implemented starting in September 1996 and were extended in January 1997. They stipulated that the price should not be less than 99,700 F, which corresponded to a discount of 5%. "Mystery shopper" visits were planned to ensure the proper application of this plan, as well as sanctions aimed notably at the level of supply.</w:t>
      </w:r>
    </w:p>
    <w:p>
      <w:r>
        <w:t>52. The company Renault and the GCR contest that these anti-discount plans constitute a practice of imposed prices, falling under the list of black clauses that prohibit a distribution agreement from benefiting from the exemption provided by the European Commission regulation.</w:t>
      </w:r>
    </w:p>
    <w:p>
      <w:r>
        <w:rPr>
          <w:b/>
        </w:rPr>
        <w:t>[Pages 13–14]</w:t>
      </w:r>
    </w:p>
    <w:p>
      <w:r>
        <w:t>supply,</w:t>
        <w:br/>
        <w:t>52. The company Renault and the GCR contest that these anti-discount plans constitute a practice of imposed prices, falling under the list of black clauses that prohibit a distribution agreement from benefiting from the exemption provided by European Commission Regulation No. 2790/1999. They argue, in particular, that these anti-discount plans were implemented unilaterally by the company Renault and cannot be classified as concerted action. They assert that the agreement of the dealers is, in this case, lacking, and the GCR provides, in support of this argument, 27 invoices for the Twingo and 87 for the Scenic, which, according to them, show that the dealers actually granted discounts. Renault exploits these elements (annex 24 of its response to the report) in the form of a table and states that the discounts granted varied from 0 to 5%. The GCR further argues that being mentioned once in a document issued by the company Renault is not sufficient to prove its agreement.</w:t>
        <w:br/>
        <w:t>53. Alternatively, the company Renault argues that the anti-discount plans did not have an anti-competitive object and that it is rational, from an economic point of view, to limit discounts during the launch period of a new product.</w:t>
        <w:br/>
        <w:t>54. The Court of First Instance of the European Communities clarified, in its judgment of October 26, 2000, Bayer AG/Commission of the European Communities, that: "The proof of an agreement between companies within the meaning of Article 85, paragraph 1, of the Treaty must be based on the direct or indirect observation of the subjective element that characterizes the very notion of agreement, that is to say, a concordance of wills between economic operators on the implementation of a policy, the pursuit of an objective, or the adoption of a specific behavior in the market, irrespective of how the parties' intention to behave in the market in accordance with the terms of that agreement is expressed."</w:t>
        <w:br/>
        <w:t>55. In this case, while the terms of the documents referred to in paragraphs 22 to 27 are unambiguous regarding the intention of the company Renault to prohibit discounts during the launch period of the vehicles concerned and attest that threats, likely to influence the behavior of the dealers, were made, no element in the file demonstrates that the dealers adhered to this policy. On the contrary, the sample of invoices concerning the Twingo and the Laguna shows that different discounts were granted by sellers. Faced with these elements, the indication constituted by the fax of September 11, 1996, described in paragraph 25, which specifies: "The launch price operation set up with the agreement of the GCR and confirmed by the Commercial Commission of September 10" is insufficient, on its own, to establish the agreement of will of the GCR on the policy adopted by Renault.</w:t>
        <w:br/>
        <w:t>56. It follows from the above that it is not established that the anti-discount plans designed by the company Renault for the launch of certain models (Scenic, Laguna, Twingo) fall within the scope of the provisions of Article L. 420-1 of Book IV of the Commercial Code and Article 81 of the Treaty establishing the European Community.</w:t>
        <w:br/>
        <w:t>C) On the grievance concerning special series</w:t>
        <w:br/>
        <w:t>57. The Government Commissioner argues that, although special series may have been presented to dealers as a means of limiting imports outside the network, their implementation was more generally part of a global strategy for positioning in national markets and, consequently, the anti-competitive object of this practice is not established.</w:t>
        <w:br/>
        <w:t>58. The company Renault argues, for its part, that the establishment of special series is an industrial decision that it makes unilaterally and that the network only intervenes at the stage of marketing the vehicles. It contends that this practice does not constitute an agreement with the members of its network.</w:t>
        <w:br/>
        <w:t>59. The GCR develops the same arguments and asserts that it is never involved in the launch of special series.</w:t>
        <w:br/>
        <w:t>60. While the market differentiation effect, touted by the company Renault in the December 1993 issue of the internal network magazine, Savoir, cannot be completely excluded, the establishment of special series, an industrial and commercial decision made by the manufacturer, primarily aims, on the one hand, to adjust the supply to consumer preferences and, on the other hand, to respond to the fiscal and regulatory constraints in force in the various European countries. However, the prohibition of affecting intra-community trade by Article 81 of the EC Treaty does not imply the prohibition of any form of product differentiation between the different European countries.</w:t>
        <w:br/>
        <w:t>61. In light of the above, it is not established that the company Renault and the GCR violated the provisions of Article L. 420-1 of the Commercial Code and Article 81-1 of the EC Treaty by constructing and distributing special series.</w:t>
        <w:br/>
        <w:t>DECISION</w:t>
        <w:br/>
        <w:t>Sole Article: It is not established that the company Renault and the GCR violated the provisions of Article L. 420-1 of the Commercial Code and the provisions of Article 81 of the EC Treaty.</w:t>
        <w:br/>
        <w:t>Deliberated on the oral report of Ms. Aloy, by Ms. Hagelsteen, president, Ms. Pasturel, vice-president, Ms. Mader-Saussaye and Ms. Perrot, Mr. Charrière-Bournazel, Mr. Piot and Mr. Robin, members.</w:t>
        <w:br/>
        <w:t>The session secretary, The president,</w:t>
        <w:br/>
        <w:t>Nadine Bellegarde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