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https://www.autoritedelaconcurrence.fr/fr/decision/relative-aux-pratiques-mises-en-oeuvre-par-les-societes-universal-music-france-et</w:t>
      </w:r>
    </w:p>
    <w:p>
      <w:r>
        <w:t>Pages translated : 2</w:t>
      </w:r>
    </w:p>
    <w:p/>
    <w:p>
      <w:r>
        <w:rPr>
          <w:b/>
        </w:rPr>
        <w:t>[Pages 1–2]</w:t>
      </w:r>
    </w:p>
    <w:p>
      <w:r>
        <w:t xml:space="preserve">FRENCH REPUBLIC  </w:t>
        <w:br/>
        <w:t xml:space="preserve">Decision No. 03-D-57 of December 9, 2003  </w:t>
        <w:br/>
        <w:t xml:space="preserve">regarding practices implemented by the companies  </w:t>
        <w:br/>
        <w:t xml:space="preserve">Universal Music France and Universal Music Belgium in the record market  </w:t>
        <w:br/>
        <w:t xml:space="preserve">The Competition Council (Standing Committee),  </w:t>
        <w:br/>
        <w:t xml:space="preserve">Having regard to the letter registered on March 31, 2003, under number 03/0023 F, by which Messrs. X... and Y..., artists, and the independent producers Magstar and Temega referred to the Competition Council practices implemented by the companies Universal Music France and Universal Music Belgium in the record market;  </w:t>
        <w:br/>
        <w:t xml:space="preserve">Having regard to Book IV of the Commercial Code relating to the freedom of prices and competition and Decree No. 2002-689 of April 30, 2002, setting its conditions of application;  </w:t>
        <w:br/>
        <w:t xml:space="preserve">Having regard to the other documents in the file;  </w:t>
        <w:br/>
        <w:t xml:space="preserve">The rapporteur, the general rapporteur, the Government Commissioner heard, Messrs. X..., Y... and the companies Magstar and Temega having been duly summoned to the session of October 14, 2003;  </w:t>
        <w:br/>
        <w:t xml:space="preserve">Adopts the following decision:  </w:t>
        <w:br/>
        <w:t xml:space="preserve">1. Pursuant to Article L. 462-8, paragraph 2, of the Commercial Code, the Competition Council may "reject the referral by reasoned decision when it considers that the facts invoked are not supported by sufficiently probative elements."  </w:t>
        <w:br/>
        <w:t xml:space="preserve">2. Messrs. X..., Y... and the production companies Magstar and Temega report practices of abuse of dominant position that would be implemented by the companies Universal Music France and Universal Music Belgium and which would result from maneuvers engaged by the latter to prevent the companies Magstar and Temega from marketing the phonographic recordings of certain artists linked to them by a production contract.  </w:t>
        <w:br/>
        <w:t xml:space="preserve">3. The referrers state that Universal Music, with which they are in dispute over the exclusivity of the recordings of one of these artists, has made it impossible for them to sell or have sold regularly produced records. The record companies contacted for the distribution of the artists concerned by the referral, namely Sony Music France, Emi Music France, Scorpio Music France, Sony Music Belgium, Amc Belgium, RM Record Belgium, Distrisound Belgium, Chryslie Music Belgium, and Amp Belgium, would have received firm instructions from Universal Music not to collaborate with Magstar and Temega and would have been obliged to comply due to their strong financial dependence on Universal Music.  </w:t>
        <w:br/>
        <w:t xml:space="preserve">4. The complainants argue that Universal Music holds a dominant position in the record market and invoke, in this regard, Universal Music's own assessments, which presents itself on its website as the world's leading record company in terms of market share. The market share thus held by Universal Music would constitute, along with the financial power of this company and its strong vertical integration, a set of elements allowing to qualify a sufficient market power to characterize a dominant position.  </w:t>
        <w:br/>
        <w:t xml:space="preserve">5. It should, however, be noted that, according to a Xerfi study, the national market shares for 2002 are distributed as follows: Universal (35.5%), Sony (22.5%), Emi (19.1%), Warner (11.2%), BMG (8.4%), and others (3.3%), and that while the French record industry is concentrated, medium-sized operators still manage to maintain themselves. Furthermore, the number of companies present between 1993 and 2001 remains quite stable, even showing slight growth; thus, the number of companies with more than 20 employees is 23 in 1993, 33 in 2001 (during this period, an average of 31).  </w:t>
        <w:br/>
        <w:t xml:space="preserve">6. In any case, concerning the alleged abuse, which would consist of pressures on the aforementioned record companies to prevent the marketing of artists produced by Magstar and Temega, no element is invoked or provided in support of the referral to establish the existence of pressures from Universal or even the mere materiality of the refusals and justifications put forward by the distributors on this occasion. The file also does not contain any elements likely to suggest the existence of collusive behavior.  </w:t>
        <w:br/>
        <w:t xml:space="preserve">7. It follows from all of the above that the referral is not supported by sufficient elements to suggest that practices that could be qualified under Articles L. 420-1 and L. 420-2 have been implemented by the companies Universal Music France and Universal Music Belgium. It is therefore appropriate, under these conditions, to apply the provisions of Article L. 462-8, paragraph 2, of the Commercial Code, as mentioned above.  </w:t>
        <w:br/>
        <w:t xml:space="preserve">DECISION  </w:t>
        <w:br/>
        <w:t xml:space="preserve">Single Article. – The referral registered under number 03/0023 F is rejected.  </w:t>
        <w:br/>
        <w:t xml:space="preserve">Deliberated, on the oral report of Mr. Fontaine, by Ms. Pasturel, Vice-President, Mr. Nasse, Vice-President, and Mr. Piot, member.  </w:t>
        <w:br/>
        <w:t xml:space="preserve">The session secretary, The Vice-President,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