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https://www.autoritedelaconcurrence.fr/fr/decision/relative-aux-pratiques-relevees-dans-le-secteur-de-la-commercialisation-des-cigarettes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03-D-65 of December 22, 2003  </w:t>
        <w:br/>
        <w:t xml:space="preserve">regarding practices observed in the sector  </w:t>
        <w:br/>
        <w:t xml:space="preserve">of cigarette marketing on the island of Réunion  </w:t>
        <w:br/>
        <w:t xml:space="preserve">The Competition Council (permanent commission),  </w:t>
        <w:br/>
        <w:t xml:space="preserve">Having regard to the letter registered on October 14, 1996, under number F 910, by which Sarl Rebel  </w:t>
        <w:br/>
        <w:t xml:space="preserve">referred to the Competition Council practices implemented in the sector of  </w:t>
        <w:br/>
        <w:t xml:space="preserve">cigarette marketing in the department of Réunion;  </w:t>
        <w:br/>
        <w:t xml:space="preserve">Having regard to the letters registered on December 12 and 23, 1996, by which Masters X... and Y...,  </w:t>
        <w:br/>
        <w:t xml:space="preserve">acting in their capacity as judicial administrators of Sarl Rebel, as well as in their capacity  </w:t>
        <w:br/>
        <w:t xml:space="preserve">as judicial administrators of Sarl Mardis, tenant-manager of the business assets  </w:t>
        <w:br/>
        <w:t xml:space="preserve">belonging to Sarl Rebel, joined the referral;  </w:t>
        <w:br/>
        <w:t xml:space="preserve">Having regard to Book IV of the Commercial Code, relating to price freedom and competition, Decree  </w:t>
        <w:br/>
        <w:t xml:space="preserve">No. 86-1309 of December 29, 1986, as amended, and Decree No. 2002-689 of April 30, 2002, setting the  </w:t>
        <w:br/>
        <w:t xml:space="preserve">conditions for the application of Book IV of the Commercial Code;  </w:t>
        <w:br/>
        <w:t xml:space="preserve">Having regard to the observations presented by the Government Commissioner;  </w:t>
        <w:br/>
        <w:t xml:space="preserve">Having regard to the other documents in the file;  </w:t>
        <w:br/>
        <w:t xml:space="preserve">The rapporteur, the deputy general rapporteur, and the Government Commissioner heard  </w:t>
        <w:br/>
        <w:t xml:space="preserve">during the session of December 3, 2003;  </w:t>
        <w:br/>
        <w:t xml:space="preserve">1. By letter registered on October 14, 1996, Sarl Rebel referred to the Competition Council  </w:t>
        <w:br/>
        <w:t xml:space="preserve">practices that it considers anti-competitive, in the sector of cigarette marketing.  </w:t>
        <w:br/>
        <w:t xml:space="preserve">2. Article L. 462-7 of the Commercial Code, reiterating the provisions of Article 27 of  </w:t>
        <w:br/>
        <w:t xml:space="preserve">Ordinance No. 86-1243 of December 1, 1986, states that: "The Council cannot be seized  </w:t>
        <w:br/>
        <w:t xml:space="preserve">of facts dating back more than three years if no act has been made to seek, establish, or sanction them."  </w:t>
        <w:br/>
        <w:t xml:space="preserve">3. In this case, since April 22, 1998, the date on which the administrative investigation report was registered  </w:t>
        <w:br/>
        <w:t xml:space="preserve">with the Competition Council, transmitted by the General Directorate of Competition,  </w:t>
        <w:br/>
        <w:t xml:space="preserve">Consumption and Fraud Control, more than three years have elapsed without the course of the  </w:t>
        <w:br/>
        <w:t xml:space="preserve">prescription being interrupted by an act aimed at seeking, establishing, or sanctioning the reported facts.  </w:t>
        <w:br/>
        <w:t xml:space="preserve">4. The prescription is therefore acquired, in application of Article L. 462-7 of the Commercial Code, and  </w:t>
        <w:br/>
        <w:t xml:space="preserve">there is consequently no reason to continue the procedure.  </w:t>
        <w:br/>
        <w:t xml:space="preserve">DECISION  </w:t>
        <w:br/>
        <w:t xml:space="preserve">Sole Article: There is no reason to continue the procedure.  </w:t>
        <w:br/>
        <w:t>1</w:t>
      </w:r>
    </w:p>
    <w:p>
      <w:r>
        <w:t xml:space="preserve">Deliberated, on the oral report of Mr. Deparis, by Ms. Hagelsteen, president, Messrs. Jenny and  </w:t>
        <w:br/>
        <w:t xml:space="preserve">Nasse, vice-presidents.  </w:t>
        <w:br/>
        <w:t xml:space="preserve">The session secretary, The president,  </w:t>
        <w:br/>
        <w:t xml:space="preserve">Christine Charron Marie-Dominique Hagelsteen  </w:t>
        <w:br/>
        <w:t xml:space="preserve">© Competition Council  </w:t>
        <w:br/>
        <w:t>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