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https://www.autoritedelaconcurrence.fr/fr/decision/relative-aux-pratiques-relevees-dans-le-secteur-de-la-distribution-de-sieges-de-salon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94-D-03 of January 11, 1994  </w:t>
        <w:br/>
        <w:t xml:space="preserve">concerning practices observed in the sector  </w:t>
        <w:br/>
        <w:t xml:space="preserve">of the distribution of lounge chairs.  </w:t>
        <w:br/>
        <w:t xml:space="preserve">The Competition Council (Section I),  </w:t>
        <w:br/>
        <w:t xml:space="preserve">Having regard to the letter registered on May 22, 1992, under number F 508, by which the Minister of  </w:t>
        <w:br/>
        <w:t xml:space="preserve">Economy and Finance referred the Competition Council to the state of competition in the sector of the distribution of lounge chairs (Home Salons network);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it is appropriate, in this case, to defer ruling in order to proceed with a  </w:t>
        <w:br/>
        <w:t xml:space="preserve">supplementary investigation,  </w:t>
        <w:br/>
        <w:t xml:space="preserve">Decides:  </w:t>
        <w:br/>
        <w:t xml:space="preserve">Sole Article. - Ruling on referral No. F 508 is deferred.  </w:t>
        <w:br/>
        <w:t xml:space="preserve">Adopted, on the report of Mr. Jean-Claude Facchin, by Mr. Cortesse, Vice-President, presiding  </w:t>
        <w:br/>
        <w:t xml:space="preserve">over the session, Messrs. Bon and Callu, Ms. Hagelsteen and Messrs. Rocca, Sloan and Thiolon, members.  </w:t>
        <w:br/>
        <w:t xml:space="preserve">The General Rapporteur The Vice-President, presiding over the session  </w:t>
        <w:br/>
        <w:t xml:space="preserve">Marc Sadaoui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