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https://www.autoritedelaconcurrence.fr/fr/decision/relative-aux-pratiques-relevees-dans-le-secteur-du-demenagement-des-personnels-de-la</w:t>
      </w:r>
    </w:p>
    <w:p>
      <w:r>
        <w:t>Pages translated : 19</w:t>
      </w:r>
    </w:p>
    <w:p/>
    <w:p>
      <w:r>
        <w:rPr>
          <w:b/>
        </w:rPr>
        <w:t>[Pages 1–3]</w:t>
      </w:r>
    </w:p>
    <w:p>
      <w:r>
        <w:t xml:space="preserve">Decision No. 02-D-62 of September 27, 2002  </w:t>
        <w:br/>
        <w:t xml:space="preserve">regarding practices identified in the sector of relocation of personnel of the national navy in Brittany  </w:t>
        <w:br/>
        <w:t xml:space="preserve">The Competition Council (section IV),  </w:t>
        <w:br/>
        <w:t xml:space="preserve">Considering the letter registered on February 16, 1999, under number F 1124, by which the Minister of Economy, Finance and Industry referred to the Competition Council practices observed in the sector of relocation of personnel of the national navy based in Brittany;  </w:t>
        <w:br/>
        <w:t xml:space="preserve">Considering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  </w:t>
        <w:br/>
        <w:t xml:space="preserve">Considering the observations presented by the companies Transports Déménagements Roussel, Le Floch, Démex Joncqueur, AGS Armorique, Boulouard, Aux aménageurs Bretons, and by the Government Commissioner;  </w:t>
        <w:br/>
        <w:t xml:space="preserve">Considering the other documents in the file;  </w:t>
        <w:br/>
        <w:t xml:space="preserve">The rapporteur, the deputy general rapporteur, the Government Commissioner, and the representatives of the companies Transports Déménagements Roussel, Le Floch, Démex Joncqueur, AGS Armorique, Boulouard, heard during the session of June 26, 2002, the company Aux aménageurs Bretons and the company Acropole Déménagements having been regularly summoned;  </w:t>
        <w:br/>
        <w:t xml:space="preserve">Adopts the decision based on the findings (I) and the reasons (II) set out below:  </w:t>
        <w:br/>
        <w:t xml:space="preserve">I. - Findings  </w:t>
        <w:br/>
        <w:t xml:space="preserve">A. – THE RELEVANT SECTOR  </w:t>
        <w:br/>
        <w:t xml:space="preserve">A relocation is a comprehensive operation consisting of a set of services. It includes the packing and loading of goods at the old residence, their transport by road, rail, sea, or air, either exclusively or in combination, and their unloading at the client's new residence.  </w:t>
        <w:br/>
        <w:t xml:space="preserve">The range of services offered depends on the wishes expressed by the client, ranging from simple transport to a complete offer including the packing and unpacking of all or part of the items to be transported, as well as the disassembly and reassembly of furniture, in addition to specific services concerning high-value furniture and precious items;  </w:t>
        <w:br/>
        <w:t xml:space="preserve">This set of services is identical, whether the client is a business or an individual, but the requested service varies depending, in particular, on the number of cubic meters of furniture to be relocated or the distance from the old to the new residence;  </w:t>
        <w:br/>
        <w:t xml:space="preserve">An estimate establishing the actual cost of the relocation according to the different possible services is made free of charge. According to the rules recalled by the trade union chamber of moving and storage companies in France, the estimate must detail all the conditions of intervention, that is to say, the precise description of the services requested by the client, the execution dates, the distance to be traveled, the total volume to be transported, its value, as well as the proposed price and payment conditions.  </w:t>
        <w:br/>
        <w:t xml:space="preserve">The estimate, once accepted, is supplemented by a detailed declaration of value established by the client and by a bill of lading, the whole forming the relocation contract. The trade union advises interested clients to consult several companies in order to compare the proposed estimates;  </w:t>
        <w:br/>
        <w:t xml:space="preserve">Regarding the relocation of civil servants, they receive a flat-rate allowance for this operation and negotiate with the companies, like any private individual, the terms of the contract in order to obtain the best service at the lowest cost;  </w:t>
        <w:br/>
        <w:t xml:space="preserve">The relocation of military personnel is governed by specific provisions; Decree No. 68-298 of March 21, 1968, which sets the terms for the reimbursement of expenses incurred by the relocation of military personnel within metropolitan territory, states in its Article 1 that these agents are reimbursed "according to the conditions and terms set by the decree of August 10, 1966," but Article 27 of the text specifies "that on a transitional basis, and until a date to be set by order of the Minister of Economy and the Minister of the Armed Forces, the beneficiaries of this decree will continue to be reimbursed for their furniture transport expenses (...) under the conditions provided for in Articles 19, 20, and 22 of the decree of March 1, 1954."  </w:t>
        <w:br/>
        <w:t xml:space="preserve">The joint order of the ministers responsible for the economy and the armed forces provided for in the aforementioned Article 27 has not been issued, so the reimbursement regime for the relocation expenses of military personnel within metropolitan territory remains, to this day, subject to the provisions of the decree of March 1, 1954, specified by the inter-army instruction No. 3000/DEF/C30 of September 1, 1974, which provides for the reimbursement of actually incurred expenses within a ceiling, upon presentation to the administration of two estimates from competing companies, with agents being able to benefit from an advance limited to 90% of the expenses.  </w:t>
        <w:br/>
        <w:t>The calculation of the reimbursement ceiling for each relocation operation results from a formula incorporating the total authorized volume of the relocation (varying according to the rank and family situation of the military personnel), the distance to be traveled, and a list of financial parameters set periodically by the administration and regularly published. Thus, it is possible for any concerned military personnel to know the price limit beyond which the incurred expenses will remain their responsibility, and for any moving company to know the amount below which the client will be fully reimbursed for their expenses.</w:t>
      </w:r>
    </w:p>
    <w:p>
      <w:r>
        <w:t xml:space="preserve">The moving sector in France is represented by 12,000 specialized companies that achieved a total turnover of 6 billion francs in 2000. These are primarily small family-run businesses, with 90% of them employing fewer than 50 employees. Many of these small entities are, however, affiliated with groups such as Déméco or Interdem;  </w:t>
        <w:br/>
        <w:t xml:space="preserve">In this case, the practices noted concern a market that presents several characteristics:  </w:t>
        <w:br/>
        <w:t xml:space="preserve">a geographical framework corresponding to the territorial jurisdiction of the departments located in the Brittany region. The significance of this market is directly linked to the restructuring of the armed forces and the evolution of their territorial installations.  </w:t>
        <w:br/>
        <w:t xml:space="preserve">intrinsic methods of selecting service providers and settling services, with military personnel required to provide their administration with two estimates established according to professional standards in order to demonstrate the competition among the bidding companies.  </w:t>
        <w:br/>
        <w:t xml:space="preserve">a possibility for companies in the sector to know in advance the period of demand, as military departures are regular, given the imperative limitation of their assignments.  </w:t>
        <w:br/>
        <w:t xml:space="preserve">The economic importance of the activity in question is not negligible and has been highlighted by the statements of certain leaders of the companies involved in this file. Thus, according to the manager of the company Le Floch, military clientele, across all armed forces, represents approximately 60% of the turnover excluding tax of moving companies in the Brittany region; for the company Boulouard, this clientele represents approximately 50% of the turnover of all the agencies in its group, and for the company Roussel, 17 to 28% of the total turnover of its Lorient agency for the years 1994 to 1997.  </w:t>
        <w:br/>
        <w:t xml:space="preserve">B. – THE PRACTICES IDENTIFIED BY THE INVESTIGATION  </w:t>
        <w:br/>
        <w:t xml:space="preserve">The investigation conducted by the territorial services of the DGCCRF concerns 127 files related to relocations of military personnel of the national navy based in Brittany carried out between 1995 and 1997. One of these files was the subject of a spontaneous declaration to the DGCCRF services by a military personnel who complained of having directly received from the company Déméco Roussel, contacted for his relocation, an estimate established by the company "Les Déménageurs Bretons," without ever having received a visit from the salesperson of the latter company, which was mentioned at the top of this second estimate. Given the importance of the sums involved, the wife of the concerned military personnel had then consulted the moving company Boulouard based on an inventory of furniture that it had previously established during a visit to their home, without informing that two of its colleagues had already made estimates. This third estimate turned out to be at least 32.80% lower than the lowest of the two other estimates.  </w:t>
        <w:br/>
        <w:t xml:space="preserve">The other 126 files were communicated to the DGCCRF services by the competent management service of the national navy, as part of the administrative investigation. Each contains the two estimates required by the administration. The cross-referencing of the information contained in these files reveals the following points of convergence:  </w:t>
        <w:br/>
        <w:t>the difference between the two estimates provided to the military administration is not greater than or equal to 2% only...</w:t>
      </w:r>
    </w:p>
    <w:p>
      <w:r>
        <w:rPr>
          <w:b/>
        </w:rPr>
        <w:t>[Pages 4–6]</w:t>
      </w:r>
    </w:p>
    <w:p>
      <w:r>
        <w:t>within the framework of the administrative investigation. Each contains the two estimates required by the administration. The cross-referencing of the information contained in these files reveals the following points of convergence:</w:t>
      </w:r>
    </w:p>
    <w:p>
      <w:r>
        <w:t>the difference between the two estimates provided to the military administration is greater than or equal to 2% in only 9 cases;</w:t>
      </w:r>
    </w:p>
    <w:p>
      <w:r>
        <w:t>6 companies, out of the 19 that made estimates, account for 90% of the moving contracts;</w:t>
      </w:r>
    </w:p>
    <w:p>
      <w:r>
        <w:t>similar errors regarding the spelling of names or addresses have been noted in the drafting of estimates from different companies for the same operation;</w:t>
      </w:r>
    </w:p>
    <w:p>
      <w:r>
        <w:t>in 77.4% of cases on average, the lower-bidding company prepared its estimate prior to or on the same day as the higher-bidding company, and for the 6 companies that are most frequently lower-bidding, this proportion rises to 90% of cases;</w:t>
      </w:r>
    </w:p>
    <w:p>
      <w:r>
        <w:t>the 5 companies that make the most lower bids, which also belong to the group that performs over 90% of the moving services in the reference market, prepare their estimates prior to or on the same day as the higher-bidding company in 66 to 90% of cases;</w:t>
      </w:r>
    </w:p>
    <w:p>
      <w:r>
        <w:t>the mention of a visit made to the client by a salesperson appears on both estimates in 43% of cases, on the lower estimate alone in 25% of cases, on the higher estimate alone in 24% of cases, and on neither estimate in 12% of cases.</w:t>
      </w:r>
    </w:p>
    <w:p>
      <w:r>
        <w:t>Finally, the investigations conducted within the companies that appear to be the most frequent beneficiaries of military moving contracts have led to various seizures of blank letterhead in the name of competing companies.</w:t>
      </w:r>
    </w:p>
    <w:p>
      <w:r>
        <w:t>The elements collected against each concerned company are as follows:</w:t>
      </w:r>
    </w:p>
    <w:p>
      <w:r>
        <w:t xml:space="preserve">1. The moving company Le Floch  </w:t>
        <w:br/>
        <w:t xml:space="preserve">During the period subject to the investigation, the company Le Floch established 61 estimates and carried out 30 moving operations.  </w:t>
        <w:br/>
        <w:t xml:space="preserve">Four files containing estimates from higher-bidding competing companies were seized at this company's premises, and three copies of furniture inventories, necessary for the preparation of a military moving file, bearing the stamp of the company Le Floch and signed in blank, were seized at the premises of the company Démex Joncqueur.  </w:t>
        <w:br/>
        <w:t xml:space="preserve">Moreover, the comparative examination of the competing estimates in eight files revealed a number of elements.  </w:t>
        <w:br/>
        <w:t xml:space="preserve">Thus, in two lower estimates from the companies Acropole Déménagements and Déméco Roussel, identical spelling errors were noted as those appearing on the estimates prepared for the same clients by the company Le Floch; in the first case, the client's name is spelled Wodjick instead of Wojcik (estimates from Acropole Déménagements and Le Floch, both dated September 27, 1996) and, in the second, Reberioux instead of Rebrioux (estimate from Déméco Roussel dated May 3, 1995, and estimate from Le Floch dated June 6, 1995). Furthermore, in a file in the name of Perrot, investigators found that the lower estimate from the company Boulouard had been used as a template for writing the higher estimate from the company Le Floch, with the handwritten notes from the second estimate appearing, due to carbon paper, overlaid on the surface of the first.  </w:t>
        <w:br/>
        <w:t xml:space="preserve">The company Le Floch also obtained higher estimates from competing companies containing the same spelling errors as its own estimates regarding the names of the concerned clients.  </w:t>
        <w:br/>
        <w:t>Thus, on an estimate obtained on August 13, 1996, from the company Acropole Déménagements, the name Le Sauce is spelled Le Sausse and the destination is incorrect, as on the estimate from the company Le Floch. Similarly, the estimates provided by the company Déméco Roussel dated February 28, May 3, and May 9, 1995, spell, like the Le Floch estimates, Tamarel instead of Tamarelle, Le Brun instead of Lebrun, Azario instead of Azzario. Finally, in a last case, the examination of the two estimates in the name of Dréau, provided by the companies Le Floch and Déméco Roussel, reveals the same correction regarding the date scheduled for the execution of the move.</w:t>
      </w:r>
    </w:p>
    <w:p>
      <w:r>
        <w:t xml:space="preserve">2. The company Déméco Roussel  </w:t>
        <w:br/>
        <w:t xml:space="preserve">During the period in question, the company Transports Déménagements Roussel operating under the name Déméco Roussel established 44 estimates and carried out 17 moves.  </w:t>
        <w:br/>
        <w:t xml:space="preserve">Identical spelling errors in the estimates of this company and those of the company Le Floch have, as previously stated, been noted in the files Tamarelle, Lebrun, Azario, and Rebrioux. Regarding the file Dréau, both estimates show the same correction in the same place.  </w:t>
        <w:br/>
        <w:t>Similarly, an error was noted on a Déméco Roussel estimate dated May 22, 1995, and on a higher estimate from the company Boulouard, dated June 2, 1995, concerning the client's name Vallar, spelled Vallard. In the file of the client Bidault, an identical handwritten correction was noted regarding the mention of the execution period of the move, on the estimate from the company Roussel and on the higher estimate from the company Boulouard. Furthermore, regarding the file Truffaut, already mentioned, the client indicated that he received from the sales agent of Déméco Roussel the proposal for a second competing estimate on the letterhead of the company Les Déménageurs Bretons without any sales agent from that company having visited him.</w:t>
      </w:r>
    </w:p>
    <w:p>
      <w:r>
        <w:t xml:space="preserve">3. The company Acropole Déménagements  </w:t>
        <w:br/>
        <w:t xml:space="preserve">During the reference period, the company Acropole Déménagements established 14 estimates and carried out 9 moving operations.  </w:t>
        <w:br/>
        <w:t xml:space="preserve">Among the documents seized at the company's premises were blank inventory sheets on the letterhead of other companies and client study files that mention the names of other companies.  </w:t>
        <w:br/>
        <w:t>A higher estimate provided to the company Le Floch on August 13, 1996, contains the same spelling error regarding the client's name (Le Sausse instead of Le Sauce) and the same inaccuracy regarding the destination of the loading. A higher estimate prepared for the company Acropole Déménagements by the company Le Floch on September 27, 1996, contains a client's name spelled with the same error (Wodjick instead of Wojcik).</w:t>
      </w:r>
    </w:p>
    <w:p>
      <w:r>
        <w:t xml:space="preserve">4. The companies Démex Joncqueur and AGS Armorique  </w:t>
        <w:br/>
        <w:t xml:space="preserve">During the period in question, the company AGS Armorique provided 7 estimates, all lower-bidding, and carried out the corresponding 7 moves; the company Démex Joncqueur, linked to the former by a subcontracting contract, established 7 estimates and carried out 1 move.  </w:t>
        <w:br/>
        <w:t xml:space="preserve">At the premises of the company Démex Joncqueur, copies of furniture inventories necessary for the preparation of military moving files, signed in blank and bearing the stamps of the companies Le Floch and AGS Armorique, as well as estimates from the latter company, were found. Similarly, investigators seized, at the premises of the company AGS, client study files to which competing estimates were attached.  </w:t>
        <w:br/>
        <w:t>Furthermore, the examination of the 6 lower estimates established between March 22, 1995, and July 30, 1996, by Démex Joncqueur (files Prigent, Caraes, Pendezec, Navarro, Phelippeau, and Sabouret) reveals that the section "visited by Mr. date" is not filled in. Finally, the price differences between the estimates from Démex Joncqueur and the estimates from AGS Armorique are, in 5 cases, below 1.5%.</w:t>
      </w:r>
    </w:p>
    <w:p>
      <w:r>
        <w:t xml:space="preserve">5. The company Aux Aménageurs Bretons  </w:t>
        <w:br/>
        <w:t xml:space="preserve">This company established 44 estimates and carried out 17 moves during the period that was the subject of the investigation.  </w:t>
        <w:br/>
        <w:t xml:space="preserve">It was indicated above, regarding the file concerning Mr. Truffaut, that this client stated he received directly from the company Démeco Roussel the proposal for a second competing estimate from the company Les Déménageurs Bretons, while no agent from that company had visited him.  </w:t>
        <w:br/>
        <w:t>Regarding the file Fornari, the estimate from the company Boulouard, dated July 10, 1996, mentions, as does the estimate from the company Aux Aménageurs Bretons, a delivery address that was subsequently handwritten, and the inventory prepared by the company Boulouard is attached to the lower estimate from the company Les Aménageurs Bretons.</w:t>
      </w:r>
    </w:p>
    <w:p>
      <w:r>
        <w:t xml:space="preserve">6. The company Boulouard  </w:t>
        <w:br/>
        <w:t xml:space="preserve">During the period in question, the company Boulouard established 55 estimates and carried out 35 moving operations.  </w:t>
        <w:br/>
        <w:t>As previously noted, similarities have been observed between the estimates of this company and, first, a lower estimate from the company Aux Aménageurs Bretons in the file Fornari, second, a lower estimate from the company Déméco Roussel for the file Vallar, spelled Vallard, and third, a higher estimate from the company Le Floch for the file Perrot.</w:t>
      </w:r>
    </w:p>
    <w:p>
      <w:r>
        <w:rPr>
          <w:b/>
        </w:rPr>
        <w:t>[Pages 7–9]</w:t>
      </w:r>
    </w:p>
    <w:p>
      <w:r>
        <w:t>notification de griefs ; qu'il en résulte que le grief notifié à la société Aux Aménageurs Bretons est valable.</w:t>
      </w:r>
    </w:p>
    <w:p>
      <w:r>
        <w:t>Sur la qualification des pratiques</w:t>
        <w:br/>
        <w:t>Considérant que les pratiques concertées de devis de couverture, telles que décrites dans les griefs notifiés, consistent en des échanges d'informations entre les entreprises de déménagement concernant les prix et les conditions des devis, ce qui a pour effet de fausser la concurrence sur le marché du déménagement ; qu'il est établi que ces pratiques ont eu pour but de coordonner les prix et de réduire la concurrence entre les entreprises concernées ; qu'en conséquence, ces pratiques doivent être qualifiées d'entente anticoncurrentielle au sens de l'article L. 420-1 du code de commerce.</w:t>
      </w:r>
    </w:p>
    <w:p>
      <w:r>
        <w:t>Sur les sanctions</w:t>
        <w:br/>
        <w:t>Considérant que, compte tenu de la gravité des pratiques constatées et de leur impact sur le marché, il y a lieu d'infliger aux entreprises concernées des sanctions financières ; qu'il est proposé d'imposer une amende à chaque entreprise, dont le montant sera déterminé en fonction de la gravité des infractions et de la taille des entreprises ; qu'il est également proposé de rendre public le présent avis afin de dissuader d'autres entreprises de s'engager dans des pratiques similaires.</w:t>
      </w:r>
    </w:p>
    <w:p>
      <w:r>
        <w:t>Ainsi, le Conseil de la concurrence, après avoir délibéré, décide de notifier aux entreprises Le Floch, Déméco Roussel, Acropole Déménagements, Démex Joncqueur, AGS Armorique, Les Déménageurs Bretons et Boulouard les griefs de pratiques concertées de devis de couverture, et d'infliger des sanctions financières conformément aux dispositions de l'article L. 464-2 du code de commerce.</w:t>
      </w:r>
    </w:p>
    <w:p>
      <w:r>
        <w:rPr>
          <w:b/>
        </w:rPr>
        <w:t>[Pages 10–12]</w:t>
      </w:r>
    </w:p>
    <w:p>
      <w:r>
        <w:t xml:space="preserve">procedure;  </w:t>
        <w:br/>
        <w:t xml:space="preserve">On Article 6 of the European Convention on Human Rights  </w:t>
        <w:br/>
        <w:t xml:space="preserve">Considering that the companies Roussel, Le Floch, Démex Joncqueur, AGS Armorique, and Boulouard criticize the absence of involvement of military personnel in the present procedure; they argue that "in disregard of the fundamental principles of the European Convention on Human Rights in its Article 6, in particular, the moving companies are accused of having produced cover estimates while the requester of the estimate and main beneficiary has never been subject to prosecution, (...) thus committing the offense of which the mover is at best only an accomplice";  </w:t>
        <w:br/>
        <w:t xml:space="preserve">But considering that, in a judgment of January 24, 1995, rejecting an appeal directed against a judgment of the Paris Court of Appeal dated April 29, 1993, the commercial chamber of the Court of Cassation held that "...as the judgment correctly stated, the Council was only competent to sanction the companies that had committed acts constituting prohibited agreements sanctioned by the provisions of Article 7 of the ordinance of December 1, 1986, even if the personnel benefiting from the services and the administration responsible for reimbursing them had, through their compromise or complacency, determined or facilitated the implementation and persistence of such practices, since, for such behaviors, these individuals and administrative authorities escaped the power conferred upon it by the aforementioned text; that in light of these statements and findings, which did not leave the competent authorities the possibility to rule on the behavior of the personnel involved in the implementation of these practices, the Court of Appeal did not disregard the scope of Article 6 of the European Convention for the Protection of Human Rights and Fundamental Freedoms"; that moreover, the moving companies do not indicate how the absence of prosecutions against their clients would have been likely to prevent or compromise the exercise of their own defense; that the argument based on a disregard for the rules of fair trial must, in these circumstances, be rejected;  </w:t>
        <w:br/>
        <w:t xml:space="preserve">On the definition of the relevant market and its geographical scope  </w:t>
        <w:br/>
        <w:t xml:space="preserve">Considering that the companies concerned by the notification of grievances argue that the relevant market is constituted by the entirety of French territory since the regulation of the relocation of military personnel is applicable throughout this territory and that, furthermore, the companies involved have a national dimension; they contest the existence of a specific relevant market for the relocation of military personnel in the Brittany region and specify that if this hypothesis were to prevail nonetheless, the market should then be confined to the city of Lorient, which would, in fact, exclude the liability of the companies Roussel, Démex Joncqueur, AGS Armorique, and Le Floch, which do not have their registered office in this city;  </w:t>
        <w:br/>
        <w:t xml:space="preserve">Considering that the market, in the sense understood by competition law, is defined as the place where supply and demand meet and where the units offered are substitutable for consumers who can thus arbitrate between suppliers;  </w:t>
        <w:br/>
        <w:t xml:space="preserve">Considering that the Competition Council, already seized with similar practices attributed to some of the companies to which the present grievances have been notified, has, in its decisions No. 92-D-37, No. 93-D-27, and 99-D-50, recognized the existence of a relevant market for the relocation of sailors in Brittany; that, based on the existence of "markets that can be individualized due to, for example, the existence of specific regulations (the market for the relocation of furniture of certain civil servants, military personnel, and public agents) or local particularities (three-quarters of the metropolitan naval bases are located in Brittany)...", it has determined that "the relevant market is indeed defined by taking into account the characteristics associated with the relocation of military personnel, the observation that the companies that intervene to carry out this type of relocations are regional companies and the fact that they are organized to respond to a demand expressed mainly in the considered area... it follows that the practices in question have developed with an intensity and a territory sufficiently broad to be likely to affect the functioning of the entire Breton market"; that this analysis has been confirmed by a judgment of the Paris Court of Appeal dated April 29, 1993, which states that "by an accurate assessment of the law, a correct assessment of the facts, and appropriate reasoning, the Council examined the collusive practices between companies consisting of the provision of cover estimates established for the provision of relocation services to agents of the Ministry of Defense on markets that it delineated based on the geographical constraints of the choice of providers, the regulatory specificity of the reimbursement of relocation expenses of these personnel, and the specialization of companies offering such services; that to define these markets it rightly observed that the demand from sailors transferred from the bases in Brittany met the offer of companies locally established in this region and specialized in this type of relocations; that indeed, for this category of services, supply and demand can only meet and constitute a market in the economic sense, within a geographically limited area defined by the proximity of the company with which the client directly interacts for the assessment of the volume of furniture to be transported and the establishment of the estimate prior to the execution of the service"; that there is therefore indeed a regional market for the relocation of military personnel in Brittany and that it is within the framework of this relevant market that the practices retained by the notification of grievances must be assessed;  </w:t>
        <w:br/>
        <w:t xml:space="preserve">On the practice of cover estimates  </w:t>
        <w:br/>
        <w:t xml:space="preserve">Considering that it results from the examination of the elements collected in the 127 files examined in the context of the investigation that the difference between the two estimates provided to the military administration is greater than or equal to 2% in only 9 cases out of the 127 examined; that 6 companies (Boulouard, Le Floch, Déméco Roussel, Acropole Déménagements, AGS Armorique, and Aménageurs Bretons) out of the 19 that made the estimates account for 90% of the relocation contracts; that, in 76.4% of cases on average, the lower bidding company made its estimate prior to or on the same day as the company whose estimate was the highest and that, concerning the 6 companies most often underbidding, this proportion goes up to 90% of cases; that copies of inventory lists of furniture bearing the stamp of the company Le Floch and signed in blank were found in the premises of the company Démex Joncqueur as well as estimates from the company AGS; that, in the premises of the latter, study files of clients were seized to which competing estimates were attached; that blank inventory sheets bearing the letterhead of other companies and study files of clients mentioning the names of other moving companies were seized in those of the company Acropole Déménagements; that multiple similar errors regarding the spelling of names or the destination location or even the date of the move have been noted in the drafting of estimates from the companies Le Floch, Roussel, Acropole Déménagements, and Boulouard for the same operation, as previously indicated in section I of this decision; that the company Roussel provided the client Truffaut with an estimate established under the stamp "Les Déménageurs Bretons" without this latter company having, at any time, conducted an on-site visit;  </w:t>
        <w:br/>
        <w:t xml:space="preserve">Considering that concerning the companies AGS Armorique and Démex Joncqueur, whose subcontracting links have already been reported, the examination of the twelve estimates seized by investigators in six relocation files reveals that the awardee, underbidding in all cases, was the company AGS Armorique, with a price difference even lower than the average noted in the 127 files subject to the investigation and that none of the six operations in question involved a visit from an agent of the company Démex Joncqueur prior to the establishment of the estimate.  </w:t>
        <w:br/>
        <w:t xml:space="preserve">Considering that the company Boulouard argues that the particularities noted between the estimates and on which the notification of grievances is based can be explained otherwise than by the existence of collusion; thus, the client Fornari did not have the key to the cellar when the company's agent arrived to establish the estimate, that this document would have been posted with two inventories at the request of the interested party who would then, on his own initiative, changed the dates, indicated his new address, and attached the incomplete inventory established during the visit; that the incorrect spelling of the name "Vallar" comes "clearly" from a typing error by the secretary accustomed to typing "Boulouard with a d"; that the surcharge of the estimate Perrot was made by the client himself because on the copy retained by the company it does not appear; that regarding the estimate concerning the relocation of Mr. Bidault, it was the interested party himself who crossed out the mentioned dates;  </w:t>
        <w:br/>
        <w:t xml:space="preserve">But considering that the denials of the company Boulouard and the explanations put forward by it in response to the material findings made on the disputed estimates are not supported by any beginning of proof;  </w:t>
        <w:br/>
        <w:t xml:space="preserve">Considering, furthermore, that it results from the statements of the managers of the companies collected during the investigation that they have, as a whole, acknowledged the existence of the incriminated practices; thus, Mr. Le Floch, co-manager of the company Déménagements Le Floch, specified: "As the military administration requests two estimates, and at the express request of the client, unless the latter wishes to encourage competition, two options are possible:  </w:t>
        <w:br/>
        <w:t xml:space="preserve">at the client's initiative, he requests the 2nd estimate from another company and communicates the elements to the company with which he wishes to deal (in about 50% of cases).  </w:t>
        <w:br/>
        <w:t>at the company's initiative, at the client's request, it will ask a second mover for a competing estimate (in about 50% of cases)"; that these practices are confirmed by the manager of the company Déméco Roussel: "We specify that the request for a competing estimate is made to us by military personnel in more than 70% of the visits made. We refuse a large number but in some cases, we are obliged to accept this constraint which always goes in the direction of the...</w:t>
      </w:r>
    </w:p>
    <w:p>
      <w:r>
        <w:rPr>
          <w:b/>
        </w:rPr>
        <w:t>[Pages 13–15]</w:t>
      </w:r>
    </w:p>
    <w:p>
      <w:r>
        <w:t xml:space="preserve">constitue qu'une part négligeable ; que, par conséquent, elles soutiennent que la sanction pécuniaire qui pourrait être prononcée à leur encontre devrait tenir compte de cette réalité économique ;  </w:t>
        <w:br/>
        <w:t xml:space="preserve">Considérant que, toutefois, la gravité des infractions constatées et leur impact sur la concurrence dans le secteur du déménagement des militaires en Bretagne ne peuvent être minimisés ; que les pratiques concertées mises en œuvre ont eu pour effet de fausser le jeu de la concurrence et de nuire aux intérêts des consommateurs ;  </w:t>
        <w:br/>
        <w:t xml:space="preserve">Considérant que, dès lors, il convient de retenir un chiffre d'affaires significatif pour le calcul de la sanction pécuniaire, en tenant compte de l'ensemble des activités des entreprises concernées, et non pas uniquement de la part relative aux déménagements militaires ;  </w:t>
        <w:br/>
        <w:t xml:space="preserve">Considérant que, par conséquent, le montant de la sanction pécuniaire doit être fixé en fonction de l'ensemble du chiffre d'affaires réalisé par les entreprises incriminées, en prenant en compte la gravité des faits reprochés et l'impact sur le marché ;  </w:t>
        <w:br/>
        <w:t xml:space="preserve">Considérant que, en l'espèce, il y a lieu de prononcer une sanction pécuniaire à hauteur de 5 % du chiffre d'affaires hors taxe réalisé en France au cours du dernier exercice clos, conformément aux dispositions de l'article L. 464-2 du code de commerce ;  </w:t>
        <w:br/>
        <w:t xml:space="preserve">Considérant que, par ailleurs, il convient de préciser que cette sanction sera appliquée de manière proportionnée et motivée, en tenant compte des circonstances atténuantes éventuelles, mais également de la nécessité de dissuader de telles pratiques à l'avenir ;  </w:t>
        <w:br/>
        <w:t>Considérant que, en conséquence, le Conseil de la concurrence, après avoir délibéré, décide de prononcer une sanction pécuniaire à l'encontre des sociétés Roussel, Le Floch, Démex Joncqueur, AGS Armorique et Boulouard, dont le montant sera déterminé selon les modalités précitées.</w:t>
      </w:r>
    </w:p>
    <w:p>
      <w:r>
        <w:rPr>
          <w:b/>
        </w:rPr>
        <w:t>[Pages 16–18]</w:t>
      </w:r>
    </w:p>
    <w:p>
      <w:r>
        <w:t xml:space="preserve">Déménagements, Démex Joncqueur, AGS Armorique, Les Déménageurs Bretons, et Boulouard ont engagé des pratiques prohibées de devis de couverture.  </w:t>
        <w:br/>
        <w:t xml:space="preserve">Article 2 : Les entreprises mentionnées ci-dessus devront publier la présente décision à frais communs et à proportion des sanctions pécuniaires qui leur sont infligées, dans le magazine Armée d’aujourd’hui.  </w:t>
        <w:br/>
        <w:t xml:space="preserve">Article 3 : Les sanctions pécuniaires infligées aux entreprises sont les suivantes :  </w:t>
        <w:br/>
        <w:t xml:space="preserve">a) Aux Aménageurs Bretons : aucune sanction.  </w:t>
        <w:br/>
        <w:t xml:space="preserve">b) Déménagements Le Floch : 75 000 euros.  </w:t>
        <w:br/>
        <w:t xml:space="preserve">c) Transports Déménagements Roussel : 65 000 euros.  </w:t>
        <w:br/>
        <w:t xml:space="preserve">d) Acropole Déménagements : 10 000 euros.  </w:t>
        <w:br/>
        <w:t xml:space="preserve">e) Démex Joncqueur : 18 000 euros.  </w:t>
        <w:br/>
        <w:t xml:space="preserve">f) AGS Armorique : 35 000 euros.  </w:t>
        <w:br/>
        <w:t xml:space="preserve">g) Boulouard Déménagements : 30 000 euros.  </w:t>
        <w:br/>
        <w:t xml:space="preserve">Article 4 : La présente décision sera notifiée aux entreprises concernées.  </w:t>
        <w:br/>
        <w:t xml:space="preserve">Article 5 : La décision sera publiée au Bulletin officiel de la concurrence.  </w:t>
        <w:br/>
        <w:t xml:space="preserve">Fait à Paris, le [date].  </w:t>
        <w:br/>
        <w:t>Le Président du Conseil de la concurrence.</w:t>
      </w:r>
    </w:p>
    <w:p>
      <w:r>
        <w:rPr>
          <w:b/>
        </w:rPr>
        <w:t>[Pages 19–19]</w:t>
      </w:r>
    </w:p>
    <w:p>
      <w:r>
        <w:t xml:space="preserve">Déménagements, Démex Joncqueur, AGS Armorique, Boulouard Déménagements, and Aux aménageurs Bretons have violated the provisions of Article L 420-1 of the Commercial Code.  </w:t>
        <w:br/>
        <w:t xml:space="preserve">Article 2: The following financial penalties are imposed:  </w:t>
        <w:br/>
        <w:t xml:space="preserve">75,000 (cid:160) on the company Le Floch;  </w:t>
        <w:br/>
        <w:t xml:space="preserve">65,000 (cid:160) on the company Transports Déménagements Roussel;  </w:t>
        <w:br/>
        <w:t xml:space="preserve">10,000 (cid:160) on the company Acropole Déménagements;  </w:t>
        <w:br/>
        <w:t xml:space="preserve">18,000 (cid:160) on the company Démex Joncqueur;  </w:t>
        <w:br/>
        <w:t xml:space="preserve">35,000 (cid:160) on the company AGS Armorique;  </w:t>
        <w:br/>
        <w:t xml:space="preserve">30,000 (cid:160) on the company Boulouard Déménagements.  </w:t>
        <w:br/>
        <w:t xml:space="preserve">Article 3: The companies Le Floch, Déméco-Roussel, Acropole-Déménagements, Démex Joncqueur, AGS Armorique, and Boulouard Déménagements are ordered to publish, at their own expense and in proportion to the financial penalties imposed on them, this decision in the magazine Armées d’aujourd’hui, within two months from the date of its notification.  </w:t>
        <w:br/>
        <w:t xml:space="preserve">Article 4: No sanction is to be pronounced against the company Aux aménageurs Bretons.  </w:t>
        <w:br/>
        <w:t xml:space="preserve">Deliberated, on the oral report of Mr. Deparis in place of Mr. Muller, prevented, by Mrs. Pasturel, Vice-President, presiding over the session, Mr. Gauron and Mr. Ripotot, members.  </w:t>
        <w:br/>
        <w:t xml:space="preserve">The secretary of the session, The Vice-President, presiding over the session,  </w:t>
        <w:br/>
        <w:t xml:space="preserve">Thierry Poncelet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