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https://www.autoritedelaconcurrence.fr/fr/decision/relative-aux-saisines-et-aux-demandes-de-mesures-conservatoires-presentees-par-lunion</w:t>
      </w:r>
    </w:p>
    <w:p>
      <w:r>
        <w:t>Pages translated : 8</w:t>
      </w:r>
    </w:p>
    <w:p/>
    <w:p>
      <w:r>
        <w:rPr>
          <w:b/>
        </w:rPr>
        <w:t>[Pages 1–3]</w:t>
      </w:r>
    </w:p>
    <w:p>
      <w:r>
        <w:t xml:space="preserve">FRENCH REPUBLIC  </w:t>
        <w:br/>
        <w:t xml:space="preserve">Decision No. 02-D-69 of November 26, 2002  </w:t>
        <w:br/>
        <w:t xml:space="preserve">regarding the referrals and requests for interim measures presented  </w:t>
        <w:br/>
        <w:t xml:space="preserve">by the company Bouygues Télécom, the Union fédérale des consommateurs Que Choisir  </w:t>
        <w:br/>
        <w:t xml:space="preserve">and the Confédération de la consommation, du logement et du cadre de vie  </w:t>
        <w:br/>
        <w:t xml:space="preserve">The Competition Council (section I),  </w:t>
        <w:br/>
        <w:t xml:space="preserve">Having regard to the letter registered on September 6, 2002, under numbers 02/0078 F and 02/0079 M, by which the company Bouygues Télécom referred to the Competition Council practices implemented by the company Orange France in the mobile telephony sector and requested the issuance of interim measures;  </w:t>
        <w:br/>
        <w:t xml:space="preserve">Having regard to the letter registered on September 13, 2002, under numbers 02/0080 F and 02/0081 M, by which the Union fédérale des consommateurs Que Choisir referred to the Competition Council practices implemented by the company Orange France in the mobile telephony sector and requested the issuance of interim measures;  </w:t>
        <w:br/>
        <w:t xml:space="preserve">Having regard to the letter registered on September 26, 2002, under numbers 02/0086 F and 02/0087 M, by which the Confédération de la consommation, du logement et du cadre de vie referred to the Competition Council practices implemented by the company Orange France in the mobile telephony sector and requested the issuance of interim measures;  </w:t>
        <w:br/>
        <w:t xml:space="preserve">Having regard to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  </w:t>
        <w:br/>
        <w:t xml:space="preserve">Having regard to Article 82 of the Treaty of Rome;  </w:t>
        <w:br/>
        <w:t xml:space="preserve">Having regard to the decisions of joinder by the general rapporteur of September 20 and October 2, 2002;  </w:t>
        <w:br/>
        <w:t xml:space="preserve">Having regard to the business secrecy decisions No. 02-DSA-22 and No. 02-DSA-23 of October 28, 2002;  </w:t>
        <w:br/>
        <w:t xml:space="preserve">Having regard to Opinion No. 02-901 of October 10, 2002, adopted by the Telecommunications Regulatory Authority, at the request of the Council, based on the provisions of Article L. 36-10 of the Postal and Telecommunications Code;  </w:t>
        <w:br/>
        <w:t xml:space="preserve">Having regard to the observations presented by the Union fédérale des consommateurs Que Choisir, the company Orange France, and the Government Commissioner;  </w:t>
        <w:br/>
        <w:t xml:space="preserve">Having regard to the letter of November 8, 2002, by which the company Bouygues Télécom informs the Council of the withdrawal of its substantive referral and its request for interim measures;  </w:t>
        <w:br/>
        <w:t xml:space="preserve">Having regard to the other documents in the file;  </w:t>
        <w:br/>
        <w:t xml:space="preserve">The rapporteur, the deputy general rapporteur, the Government Commissioner, and the representatives of the Union fédérale des consommateurs Que Choisir, the Confédération de la consommation, du logement et du cadre de vie, and the company Orange France heard during the session of November 12, 2002;  </w:t>
        <w:br/>
        <w:t xml:space="preserve">The practices in question  </w:t>
        <w:br/>
        <w:t xml:space="preserve">1. Since 1991, the company Orange France has been providing GSM mobile telephony services in mainland France. France Télécom SA holds more than 80% of the shares in Orange SA, which fully controls the company Orange France. The company Orange France adopted new pricing provisions that were implemented on September 15 and October 1, 2002.  </w:t>
        <w:br/>
        <w:t xml:space="preserve">2. Orange France offers prepaid Mobicarte services that allow users to make calls from a mobile line, with the price deducted from a personal account pre-funded by bank transfer or through so-called prepaid cards available in stores. Until September 15, 2002, the price including tax per minute of communication was €0.30 for calls to Orange France lines (so-called on-net calls) and €0.50 for calls to other fixed or mobile lines located in mainland France and excluding so-called special numbers, that is, assigned to service providers. These prices were billed in increments of 30 seconds beyond an initial indivisible minute, which was charged regardless of the duration of the call. The new pricing provisions, which came into effect on September 15, now provide for billing by the second beyond an initial indivisible minute and have raised the prices to €0.62 for calls to SFR and Bouygues Télécom lines, and to €0.50 for calls to fixed lines and Orange France.  </w:t>
        <w:br/>
        <w:t xml:space="preserve">3. Orange France also offers subscriptions with a commitment duration of 12 or 24 months that provide monthly bundled communication durations ranging from two to fifteen hours for the general public and from one to fifteen hours for businesses, as well as the ability to make so-called out-of-bundle communications (outside mainland France or special numbers) and communications beyond the bundle, at a predefined price. Before the launch of the new pricing offers, communications were billed in increments of 30 seconds beyond an initial indivisible minute, and communications to Orange France lines benefited from a 25% discount beyond the bundle. Since September 15, 2002, for the general public, and October 1, 2002, for businesses, communications are counted by the second, starting from the first second for calls to mainland France (excluding special numbers) and after an initial indivisible minute for other calls. The prices of packages and out-of-bundle communications remain unchanged, while the price of communications beyond the bundle slightly increases. However, an additional charge of €0.002 including tax per second is billed, in addition to the monthly subscription, for calls to SFR and Bouygues Télécom lines. Finally, the 25% discount for calls beyond the bundle to Orange France lines is removed. Furthermore, Orange France offers subscription plans (Mobile Account for the general public and basic subscription for businesses) as well as a Mobile Account with a one-hour package for the general public, whose communications are now billed by the second after an initial indivisible minute (from the first second for communications included in the one-hour package Mobile Account), with the additional billing applying in the same manner as for bundled offers concerning calls to SFR and Bouygues Télécom lines.  </w:t>
        <w:br/>
        <w:t xml:space="preserve">4. The company Bouygues Telecom, the Union fédérale des consommateurs Que Choisir (hereinafter UFC Que Choisir), and then the Confédération de la consommation, du logement et du cadre de vie (hereinafter CLCV) referred to the Competition Council regarding this new pricing. The complainants believe that the company Orange France holds a dominant position in the GSM mobile telephony market and that the changes made on September 15 and October 1, 2002, to the pricing terms of its services constitute an abuse of dominant position. UFC Que Choisir and CLCV request the Council to order, as an interim measure, Orange France to suspend the overcharging of calls to Bouygues Télécom and SFR networks, to cease all promotion, advertising, and marketing of its new pricing, and to inform consumers of this suspension through an appropriate communication channel.  </w:t>
        <w:br/>
        <w:t xml:space="preserve">5. Since November 7, 2002, Orange France has launched a campaign informing its customers of a modification of the pricing offers by the second described above. The additional billing on calls to SFR and Bouygues Telecom lines is removed. However, the price of packages is increased by €3. These changes will take effect from November 28 for the general public and December 9 for businesses regarding new subscriptions, and no later than February 1 for ongoing subscriptions. Informed of this modification, the company Bouygues Telecom withdrew its substantive referral and its request for interim measures by letter dated November 8, 2002.  </w:t>
        <w:br/>
        <w:t xml:space="preserve">The relevant markets  </w:t>
        <w:br/>
        <w:t>6. From the demand perspective, GSM mobile telephony services offer the ability, from a dedicated terminal, to receive and make telephone calls as well as short text messages (SMS), regardless of the user's geographical location. These services are characterized by their flexibility of use compared to fixed telephony services, both in terms of making and receiving calls, and are therefore not seen as substitutable. The practice of terminating a subscription to the fixed telephony network in favor of a subscription for mobile telephony has remained marginal to date (market observatory of the Telecommunications Regulatory Authority, hereinafter ART).</w:t>
      </w:r>
    </w:p>
    <w:p>
      <w:r>
        <w:rPr>
          <w:b/>
        </w:rPr>
        <w:t>[Pages 4–6]</w:t>
      </w:r>
    </w:p>
    <w:p>
      <w:r>
        <w:t>7. Companies and professionals can benefit from a simple subscription, a discount based on the size of the fleet, on the price of individual packages, or a global package usable by all users of the company. Additionally, there are so-called convergence offers, combining fixed and mobile telephony functionalities. Finally, a general public customer cannot subscribe to a business offer.</w:t>
      </w:r>
    </w:p>
    <w:p>
      <w:r>
        <w:t>8. Among the operators' general public offers, there is a distinction between prepaid services, without commitment, and subscriptions whose commitment duration ranges from 6 to 24 months. Although not formally committed, the customer of a prepaid offer must nevertheless proceed annually with a minimum number of recharges in order not to lose the benefit of their line. Furthermore, the company Orange France asserts in its observations that "the choice of a consumer between a subscription and a prepaid card essentially depends on the estimation of their consumption," which seems to be confirmed in light of the discrepancies it presents between the average revenue it obtains from its subscribers and that of its prepaid offer customers.</w:t>
      </w:r>
    </w:p>
    <w:p>
      <w:r>
        <w:t>9. At this stage of the investigation, it cannot be excluded that the relevant market concerned by the practices denounced is that of mobile telephony in mainland France, without it being necessary to rule on a possible segmentation of this market between business customers and those of the general public, nor between subscription offers and prepaid offers.</w:t>
      </w:r>
    </w:p>
    <w:p>
      <w:r>
        <w:t>The position of Orange France in these markets</w:t>
      </w:r>
    </w:p>
    <w:p>
      <w:r>
        <w:t>10. According to the mobile observatory of the ART dated September 30, 2002, Orange France would have, with 17,730,900 active customers in mainland France, a market share of 49.6% (50% of subscriptions and 48.4% of the prepaid base) compared to 35% for SFR and 15.4% for Bouygues Télécom. According to the IT Club of large French companies, this market share was 79% as of October 30, 2000 (compared to 5% for Bouygues Télécom) among major accounts. Finally, Orange France had, as of August 31, 2002, between 1.4 and 1.8 million business lines compared to less than 400,000 for Bouygues Télécom.</w:t>
      </w:r>
    </w:p>
    <w:p>
      <w:r>
        <w:t>11. In its letter dated October 16, 2002, Orange France states that it achieved 43.1% of the retail mobile telephony revenue in mainland France for the year 2001, which leads to a lower revenue per customer for Orange France than that of its competitors. Customers of Bouygues Télécom, which offers comparable services, thus have an average monthly communication duration that is 73% higher than that of Orange France customers. In contrast, the price level of Orange France is higher for general public offers (by 10% to 25% compared to Bouygues Télécom before September 2002). For businesses, prices are comparable, if not lower than those of its competitors.</w:t>
      </w:r>
    </w:p>
    <w:p>
      <w:r>
        <w:t>12. In terms of marketing its services, Orange France enjoys exclusivity in distribution through the 650 France Télécom agencies, in addition to its 120 Mobistore locations (compared to 250 SFR sales points as of December 31, 2001). In particular, in rural areas, the network of France Télécom agencies gives Orange France a competitive advantage over the other two operators. Similarly, as indicated by the Orange group in its 2001 reference document, "Orange France also uses the sales force of the Enterprises branch of France Télécom, which includes approximately 950 salespeople who sell all types of products and services directly to large companies." Moreover, the marketing of Orange France's services in France Télécom agencies materializes its links with the historical operator, which, in terms of image and trust, is also an asset.</w:t>
      </w:r>
    </w:p>
    <w:p>
      <w:r>
        <w:t>13. Furthermore, compared to its two competitors, Orange France also benefits from the prior deployment of its network, and thus having completed its coverage before its competitors. The more advanced depreciation stage of its network and the extent of its base also give it an advantage in terms of the average cost of its services.</w:t>
      </w:r>
    </w:p>
    <w:p>
      <w:r>
        <w:t>14. Finally, the fact that, despite a price level higher than that of its competitors, Orange France's market share in terms of the number of customers remains stable, demonstrates the importance of competitive advantages other than prices that Orange France enjoys.</w:t>
      </w:r>
    </w:p>
    <w:p>
      <w:r>
        <w:t>15. Given these elements, it cannot be excluded, at this stage of the investigation, that Orange France is in a dominant position in the market for GSM mobile telephony services in mainland France.</w:t>
      </w:r>
    </w:p>
    <w:p>
      <w:r>
        <w:t>The admissibility of the referrals</w:t>
      </w:r>
    </w:p>
    <w:p>
      <w:r>
        <w:t>16. Orange France argues that, given the withdrawal of the contested pricing offers and their replacement with offers that no longer involve price differentiation, announced on November 7, the referrals from UFC Que Choisir and CLCV are inadmissible due to the lack of interest to act of these associations, as stated in Article L. 462-8 of the Commercial Code.</w:t>
      </w:r>
    </w:p>
    <w:p>
      <w:r>
        <w:t>17. However, the interest to act must be assessed at the date of the referrals, namely September 13, 2002, for UFC Que Choisir and September 26, 2002, for CLCV, dates on which the contested pricing offers were still valid. Moreover, the Council can be seized of specific practices that have ended at the time of the referral, but which the referrer believes have had or could have the effect of distorting competition in a market.</w:t>
      </w:r>
    </w:p>
    <w:p>
      <w:r>
        <w:t>18. In its referral, UFC Que Choisir first argues that Orange France imposes an implicit price increase on a large number of its subscribers by making the economic calculation for the consumer impossible and by shifting subscribers to the new pricing without obtaining the express consent of its customers. For its part, CLCV claims that the advertising campaign conducted by Orange France announces a clear price reduction but does not clearly and visibly indicate that calls to other operators will now be surcharged within the package itself.</w:t>
      </w:r>
    </w:p>
    <w:p>
      <w:r>
        <w:t>19. Orange France objects in its observations that it has provided subscribers to an Orange package with genuine information about the new pricing, through the sending of several letters and the establishment of two free numbers, and that, furthermore, a line regarding the billing supplement now appears on its subscribers' bills, who also have the option to refuse the application of this pricing until December 15, 2002. It also points out that its advertisements mention the existence of this billing supplement and announce an increase in the communication time offered and not a decrease in prices.</w:t>
      </w:r>
    </w:p>
    <w:p>
      <w:r>
        <w:t>20. At this stage of the investigation, it cannot be excluded that the "disloyalty" of the advertising or commercial announcements made by Orange France, as well as the "opacity" of the new pricing, assuming they are established, could be of a nature to prevent, restrict, or distort competition in the mobile telephony market.</w:t>
      </w:r>
    </w:p>
    <w:p>
      <w:r>
        <w:t>21. Secondly, UFC Que Choisir argues that the price differentiation practiced by Orange France has the effect of restricting the number of calls made by its customers to SFR and Bouygues Télécom lines and locks the market, insofar as any departure from a member of the "Orange club" can be considered a "betrayal" since their departure generates negative externalities for all other club members whose certain calls will now be overcharged. According to it, the denounced practice will also have the effect of driving out Orange France's competitors since the opportunity cost of subscribing to the dominant network will be mechanically lower than for others. For its part, CLCV highlights the challenge to the principle of interoperability and a "snowball effect," unfavorable to Orange France's competing operators.</w:t>
      </w:r>
    </w:p>
    <w:p>
      <w:r>
        <w:t>22. In its observations, Orange France justifies the price differentiation it introduced with the transition to per-second billing by indicating that there is increasing talk of ending the currently prevailing system among mobile operators, known as bill and keep, in which they do not charge each other for call terminations, these being subject to a "barter" justified by the symmetry of the volume of traffic exchanged. In this perspective, the call termination charges that operators would charge each other could be different, and it considers it appropriate to pass these differences on to its prices in advance.</w:t>
      </w:r>
    </w:p>
    <w:p>
      <w:r>
        <w:t>23. However, Orange France does not present, in its observations, any element capable of demonstrating the predictability of an exit from this system. Under the current system, the ART estimates, in its aforementioned opinion, that the cost of a call terminating on an operator's network is not different for that operator than the cost of a call terminating on another GSM network: "Based on the data available to it (...) the Authority confirms the near-symmetry of the volume of traffic exchanged between metropolitan mobile operators in 1999, 2000, and 2001." Therefore, "a call terminating on a third-party operator's network costs the originating operator the price of a termination that it mobilizes on its own network for the third-party operator." Orange France acknowledged in the session that currently, no cost difference justified a price differentiation. Now, for an operator in a dominant position, the practice of applying price differences not justified by differences in service cost, which could therefore be discriminatory, is likely to constitute an abuse if this practice has the object or could have the effect of preventing, restricting, or distorting competition in the relevant market.</w:t>
      </w:r>
    </w:p>
    <w:p>
      <w:r>
        <w:t>24. Contesting that its price differentiation could have an anti-competitive effect, Orange France produces, in support of its thesis, a study by Professor Paul Seabright on the economic consequences of the billing supplement. As a preliminary matter, he considers that the effects of differentiation on the distribution of traffic between the networks of the three operators certainly cannot be determined at this stage. He then argues that, in any case, if the incoming traffic of a competing operator of Orange France were to decrease, this would have no effect on its revenues and</w:t>
      </w:r>
    </w:p>
    <w:p>
      <w:r>
        <w:rPr>
          <w:b/>
        </w:rPr>
        <w:t>[Pages 7–8]</w:t>
      </w:r>
    </w:p>
    <w:p>
      <w:r>
        <w:t>induce, on the contrary, an increase in its profit given the decrease in its termination costs. He further emphasizes that the new rates of Orange France remain significantly higher than those of its competitors, even for customers who never call the mobile lines of other operators (so-called off-net calls), such that consumers would not be incentivized to choose this operator. He finally recalls that "it is recognized by all economic authorities that, when it comes to the pricing of a good or service produced at significant fixed costs, such as telecommunications, pricing at marginal cost is no longer feasible and, on the contrary, a certain price differentiation between different customer bases is necessary to minimize the economic distortions resulting from pricing beyond marginal cost."</w:t>
      </w:r>
    </w:p>
    <w:p>
      <w:r>
        <w:t>25. However, at this stage of the investigation, it cannot be excluded that the price increases implemented by Orange France for calls to the mobile lines of competing operators may have the effect of restricting the volume of calls made by its customers to these networks. Orange France also provides, on its website, at the time of the transition to the new billing, the necessary information to identify the network of a correspondent based on the first four digits of their number. Moreover, price differentiation may influence customers' choices at the time of the first purchase or a renewal, to the extent that they will now be likely to take into account the networks to which their main correspondents belong. These effects are likely to limit the interoperability of networks and thus favor the largest network, as customers value the ability to call and be called by as many correspondents as possible. This effect should be even more significant given that Orange France holds a market share much higher than that of each of its two competitors. The significantly higher price level of its services does not seem to fully counteract this effect, since, as noted above, this higher price level has not prevented Orange France's market share from remaining stable. Furthermore, the new billing allows Orange France to lower its prices for calls to fixed lines and Orange France. It follows that the criticized pricing policy could, subject to a substantive investigation, constitute an abuse of dominant position and fall within the scope of Article L. 420-2 of the Commercial Code.</w:t>
      </w:r>
    </w:p>
    <w:p>
      <w:r>
        <w:t>26. However, as of November 7, 2002, the company Orange France announced that it was renouncing any price differentiation. As of November 28 for the general public and December 9 for businesses, it will withdraw its pricing offers from September 15 and October 1 and will propose packages without additional billing. Billing by the second is maintained, after an initial indivisible minute, or from the first second for an additional €3 per month. Current subscribers have until January 31, 2003, to choose between these two new pricing formulas, with the first being retained by default on February 1, 2003.</w:t>
      </w:r>
    </w:p>
    <w:p>
      <w:r>
        <w:t>27. The criticized practice thus had a very limited duration. However, quantitative studies on consumption behaviors generally show that consumer reactions to price variations require timeframes that can be measured in quarters. In this case, the complainants provide no evidence indicating that the price differentiation introduced by Orange France would have immediately affected behaviors. Consequently, it appears that the potential effects of this practice, as analyzed above, did not have the material time to develop. The practice cannot therefore be regarded as having significantly restricted the competitive dynamics in the relevant market. The Court of Cassation, in a ruling of its commercial chamber dated January 12, 1999, in the case of Zannier, held that the condition of sensitivity of the effects of practices is an element of the qualification of these practices whose existence must be verified on a case-by-case basis: "But considering that it is rightly that the Court of Appeal stated that in the absence of any legal or regulatory definition of a sensitivity threshold, it is up to the courts seized to verify in each specific case whether the potential or proven effect of the incriminated practices is likely to significantly restrict the competitive dynamics in the relevant market."</w:t>
      </w:r>
    </w:p>
    <w:p>
      <w:r>
        <w:t>It follows from the above that the applications of UFC Que Choisir and CLCV should be rejected on the merits, and consequently, the requests for interim measures. Furthermore, it should be noted that the company Bouygues Télécom has withdrawn its complaint.</w:t>
      </w:r>
    </w:p>
    <w:p>
      <w:r>
        <w:t>DECIDES</w:t>
        <w:br/>
        <w:t>Article 1: The substantive applications registered under numbers 02/0080/F and 02/0086/F are rejected.</w:t>
        <w:br/>
        <w:t>Article 2: The requests for interim measures registered under numbers 02/0081/M and 02/0087/M are rejected.</w:t>
        <w:br/>
        <w:t>Article 3: Bouygues Télécom is acknowledged for its withdrawal from the application and the request for interim measures registered under numbers 02/0078 F and 02/0079 M.</w:t>
      </w:r>
    </w:p>
    <w:p>
      <w:r>
        <w:t>Deliberated, on the oral report of Mr. Soriano, by Mr. Nasse, vice-president, presiding over the session, Ms. Perrot, Messrs. Bidaud, Charriere-Bournazel, Lasserre, and Piot, members.</w:t>
      </w:r>
    </w:p>
    <w:p>
      <w:r>
        <w:t>The secretary of the session, The vice-president, presiding over the session</w:t>
        <w:br/>
        <w:t>Thierry Poncelet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