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https://www.autoritedelaconcurrence.fr/fr/decision/relative-aux-tarifs-et-aux-conditions-liees-appliquees-par-les-banques-et-les</w:t>
      </w:r>
    </w:p>
    <w:p>
      <w:r>
        <w:t>Pages translated : 148</w:t>
      </w:r>
    </w:p>
    <w:p/>
    <w:p>
      <w:r>
        <w:rPr>
          <w:b/>
        </w:rPr>
        <w:t>[Pages 1–3]</w:t>
      </w:r>
    </w:p>
    <w:p>
      <w:r>
        <w:t xml:space="preserve">FRENCH REPUBLIC  </w:t>
        <w:br/>
        <w:t xml:space="preserve">Decision No. 10-D-28 of September 20, 2010  </w:t>
        <w:br/>
        <w:t xml:space="preserve">regarding the tariffs and conditions applied by banks  </w:t>
        <w:br/>
        <w:t xml:space="preserve">and financial institutions for the processing of checks submitted  </w:t>
        <w:br/>
        <w:t>for collection</w:t>
      </w:r>
    </w:p>
    <w:p>
      <w:r>
        <w:t xml:space="preserve">The Competition Authority (Section I A),  </w:t>
        <w:br/>
        <w:t xml:space="preserve">Having regard to Decision No. 03-SO-01 of April 29, 2003 (registered under number 03/0037 F) by which the Competition Council took the initiative regarding the competitive situation concerning the tariffs and conditions applied by banks and financial institutions for the processing of checks submitted for collection;  </w:t>
        <w:br/>
        <w:t xml:space="preserve">Having regard to Article 81 of the Treaty establishing the European Community, now Article 101 of the Treaty on the Functioning of the European Union;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business secrecy decisions No. 08-DSA-39 of March 10, 2008, No. 08-DSA-192 to 08-DSA-200 of December 3, 2008, No. 09-DSA-147 and 09-DSA-149 dated August 4, 2009, No. 09-DSADEC-32 and 09-DSADEC-33 dated August 7, 2009, No. 09-DSADEC-34 and 09-DSADEC-35 dated August 10, 2009, and decisions No. 08-DEC-12 of October 2, 2008, No. 09-DEC-01 of February 17, 2009, No. 09-DEC-22 dated October 20, 2009 authorizing access, under determined conditions, to certain documents classified in the confidential annex;  </w:t>
        <w:br/>
        <w:t xml:space="preserve">Having regard to the decisions of December 16, 2008, and February 17, 2009, by which the General Rapporteur designated an expert, based on the provisions of Articles L. 463-8 and R. 463-16 of the Commercial Code;  </w:t>
        <w:br/>
        <w:t xml:space="preserve">Having regard to Decision No. 09-S-04 of December 11, 2009, by which the Competition Authority referred the file for instruction to allow the parties, on the one hand, to access all data covered by decisions No. 08-DEC-12, 09-DEC-01, and 09-DEC-22 and, on the other hand, to submit final written observations;  </w:t>
        <w:br/>
        <w:t xml:space="preserve">Having regard to the observations presented by the Banque de France, the Banques Populaires Participations (formerly Banque Fédérale des Banques Populaires), La Banque Postale, BNP-Paribas, the Caisse Nationale des Caisses d’Epargne, the Confédération Nationale du Crédit Mutuel, Crédit Agricole SA, Crédit du Nord, Crédit Industriel et Commercial (CIC), LCL, HSBC, Société Générale, and the Government Commissioner;  </w:t>
        <w:br/>
        <w:t xml:space="preserve">Having regard to the other documents in the file;  </w:t>
        <w:br/>
        <w:t xml:space="preserve">The rapporteurs, the General Rapporteur, the Government Commissioner, and representatives of the Banque de France, Banques Populaires Participations (formerly Banque Fédérale des Banques Populaires), La Banque Postale, BNP-Paribas, Caisse Nationale des Caisses d’Epargne, Confédération Nationale du Crédit Mutuel, Crédit Agricole SA, Crédit du Nord, Crédit Industriel et Commercial (CIC), LCL, HSBC, and Société Générale, heard during the sessions of November 24, 2009, and April 13, 2010, and representatives of the European Commission, Carrefour, and EDF heard during the session of November 24, 2009, based on the provisions of Article L. 463-7, paragraph 2 of the Commercial Code;  </w:t>
        <w:br/>
        <w:t>Adopts the following decision:</w:t>
      </w:r>
    </w:p>
    <w:p>
      <w:r>
        <w:t xml:space="preserve">I. FINDINGS ..................................................................................................................................... 8  </w:t>
        <w:br/>
        <w:t xml:space="preserve">A. The procedure ............................................................................................................ 8  </w:t>
        <w:br/>
        <w:t xml:space="preserve">B. The relevant sector ................................................................................................. 12  </w:t>
        <w:br/>
        <w:t xml:space="preserve">1. The check .................................................................................................................. 12  </w:t>
        <w:br/>
        <w:t xml:space="preserve">a) The use of checks in France ............................................................................... 12  </w:t>
        <w:br/>
        <w:t xml:space="preserve">b) The issuance and submission of checks in France ............................................. 12  </w:t>
        <w:br/>
        <w:t xml:space="preserve">c) The remuneration methods for services related to the use and submission of checks ................................................................................................................ 14  </w:t>
        <w:br/>
        <w:t xml:space="preserve">d) The interbank check clearing system ................................................................. 14  </w:t>
        <w:br/>
        <w:t xml:space="preserve">e) The outsourcing of check submission ................................................................. 15  </w:t>
        <w:br/>
        <w:t xml:space="preserve">2. The parties involved ................................................................................................. 15  </w:t>
        <w:br/>
        <w:t xml:space="preserve">a) Presentation of the parties .................................................................................. 15  </w:t>
        <w:br/>
        <w:t xml:space="preserve">BNP-Paribas ........................................................................................................ 15  </w:t>
        <w:br/>
        <w:t xml:space="preserve">Société Générale ................................................................................................. 16  </w:t>
        <w:br/>
        <w:t xml:space="preserve">Crédit du Nord .................................................................................................... 16  </w:t>
        <w:br/>
        <w:t xml:space="preserve">Crédit Agricole ................................................................................................... 16  </w:t>
        <w:br/>
        <w:t xml:space="preserve">LCL – Le Crédit Lyonnais .................................................................................. 16  </w:t>
        <w:br/>
        <w:t xml:space="preserve">Banques Populaires ........................................................................................... 16  </w:t>
        <w:br/>
        <w:t xml:space="preserve">Caisses d’Epargne ............................................................................................. 17  </w:t>
        <w:br/>
        <w:t xml:space="preserve">HSBC (Hong Kong Shanghai Banking Corp.) .................................................. 17  </w:t>
        <w:br/>
        <w:t xml:space="preserve">La Banque Postale ............................................................................................. 17  </w:t>
        <w:br/>
        <w:t xml:space="preserve">Crédit Mutuel ..................................................................................................... 17  </w:t>
        <w:br/>
        <w:t xml:space="preserve">Crédit Industriel et Commercial (CIC) ............................................................... 18  </w:t>
        <w:br/>
        <w:t xml:space="preserve">Banque de France .............................................................................................. 18  </w:t>
        <w:br/>
        <w:t xml:space="preserve">b) Volumes of interbank checks issued and submitted by the parties .................. 18  </w:t>
        <w:br/>
        <w:t xml:space="preserve">C. The practices identified .......................................................................................... 19  </w:t>
        <w:br/>
        <w:t xml:space="preserve">1. The interbank check exchange system before 2002 ........................................... 19  </w:t>
        <w:br/>
        <w:t xml:space="preserve">2. The transition to the Image Check Exchange (EIC) system ............................... 20  </w:t>
        <w:br/>
        <w:t xml:space="preserve">a) The favorable conditions for the transition to the EIC in 1999 ....................... 20  </w:t>
        <w:br/>
        <w:t xml:space="preserve">b) The meetings of the Inter-Network Commission .............................................. 20  </w:t>
        <w:br/>
        <w:t xml:space="preserve">The modification of cash flow balances between banks ................................... 21  </w:t>
        <w:br/>
        <w:t xml:space="preserve">The "consistency between different means of payment" ................................... 24  </w:t>
        <w:br/>
        <w:t xml:space="preserve">The respective positions of banks on these points ............................................. 26  </w:t>
        <w:br/>
        <w:t>The processing of related operations ................................................................. 28</w:t>
      </w:r>
    </w:p>
    <w:p>
      <w:r>
        <w:rPr>
          <w:b/>
        </w:rPr>
        <w:t>[Pages 4–6]</w:t>
      </w:r>
    </w:p>
    <w:p>
      <w:r>
        <w:t xml:space="preserve">c) The projected balance of the transition to the EIC carried out by Crédit Agricole, Crédit Mutuel, and CIC ...................................................................................................... 28  </w:t>
        <w:br/>
        <w:t xml:space="preserve">Crédit Agricole ............................................................................................... 28  </w:t>
        <w:br/>
        <w:t xml:space="preserve">Crédit Mutuel ................................................................................................. 29  </w:t>
        <w:br/>
        <w:t xml:space="preserve">CIC ................................................................................................................. 29  </w:t>
        <w:br/>
        <w:t xml:space="preserve">d) The agreement on interbank conditions for the implementation of the EIC ............ 29  </w:t>
        <w:br/>
        <w:t xml:space="preserve">The interbank conditions retained .................................................................. 29  </w:t>
        <w:br/>
        <w:t xml:space="preserve">Duration of application .................................................................................. 30  </w:t>
        <w:br/>
        <w:t xml:space="preserve">e) Regulation No. 2001-04 of the CRBF and the professional agreement on the Image-Check Exchange .................................................................................................. 31  </w:t>
        <w:br/>
        <w:t xml:space="preserve">3. The amount of interbank commissions collected .................................................. 32  </w:t>
        <w:br/>
        <w:t xml:space="preserve">4. The revision of interbank conditions of the EIC in 2007 ..................................... 32  </w:t>
        <w:br/>
        <w:t xml:space="preserve">D. The notified grievances ....................................................................................... 33  </w:t>
        <w:br/>
        <w:t xml:space="preserve">II. DISCUSSION ............................................................................................................................................. 34  </w:t>
        <w:br/>
        <w:t xml:space="preserve">A. On the procedure .................................................................................................. 34  </w:t>
        <w:br/>
        <w:t xml:space="preserve">1. On the duration of the procedure ............................................................................ 34  </w:t>
        <w:br/>
        <w:t xml:space="preserve">a) Arguments of the parties ..................................................................................... 34  </w:t>
        <w:br/>
        <w:t xml:space="preserve">b) The applicable law ............................................................................................... 34  </w:t>
        <w:br/>
        <w:t xml:space="preserve">c) Assessment in this case ..................................................................................... 35  </w:t>
        <w:br/>
        <w:t xml:space="preserve">Regarding the duration of the procedure .......................................................... 35  </w:t>
        <w:br/>
        <w:t xml:space="preserve">Regarding the parties' ability to defend themselves against the notified grievances .................................................................................................................. 36  </w:t>
        <w:br/>
        <w:t xml:space="preserve">2. On the respect of the adversarial principle .............................................................. 38  </w:t>
        <w:br/>
        <w:t xml:space="preserve">a) On the precision of the notified grievances .......................................................... 38  </w:t>
        <w:br/>
        <w:t xml:space="preserve">b) On access to the file ............................................................................................ 39  </w:t>
        <w:br/>
        <w:t xml:space="preserve">Regarding the communication of the price survey .......................................... 39  </w:t>
        <w:br/>
        <w:t xml:space="preserve">Regarding access to other documents in the file ............................................. 42  </w:t>
        <w:br/>
        <w:t xml:space="preserve">c) On the conduct of the investigation .................................................................... 44  </w:t>
        <w:br/>
        <w:t xml:space="preserve">Regarding the collection of information .......................................................... 44  </w:t>
        <w:br/>
        <w:t xml:space="preserve">Regarding the impartiality of the investigation ............................................... 45  </w:t>
        <w:br/>
        <w:t xml:space="preserve">Regarding the burden of proof ......................................................................... 46  </w:t>
        <w:br/>
        <w:t xml:space="preserve">Regarding the evolution of the rapporteurs' analysis during the procedure .................................................................................................................. 46  </w:t>
        <w:br/>
        <w:t xml:space="preserve">Regarding the sending of a supplementary report ........................................... 47  </w:t>
        <w:br/>
        <w:t xml:space="preserve">d) On the sessions of November 24, 2009, and April 13, 2010 .............................. 47  </w:t>
        <w:br/>
        <w:t xml:space="preserve">3. On business secrecy .............................................................................................. 48  </w:t>
        <w:br/>
        <w:t xml:space="preserve">4. On the regularity of the expertise .......................................................................... 49  </w:t>
        <w:br/>
        <w:t xml:space="preserve">a) On the definition of the expert's mission and its accomplishment .................... 49  </w:t>
        <w:br/>
        <w:t xml:space="preserve">b) On the relationships between the expert and the rapporteurs .......................... 50  </w:t>
        <w:br/>
        <w:t xml:space="preserve">c) On the means made available to the parties to respond to the expert work .................................................................................................................. 51  </w:t>
        <w:br/>
        <w:t xml:space="preserve">5. On the communication of the referral to the Banking Commission ......................... 52  </w:t>
        <w:br/>
        <w:t xml:space="preserve">6. On the respect of the presumption of innocence and the secrecy of the investigation .................................................................................................................. 52  </w:t>
        <w:br/>
        <w:t xml:space="preserve">B. On the applicable law ........................................................................................... 53  </w:t>
        <w:br/>
        <w:t xml:space="preserve">1. On the applicability of competition law ................................................................ 53  </w:t>
        <w:br/>
        <w:t xml:space="preserve">2. On the applicability of Community law .................................................................. 55  </w:t>
        <w:br/>
        <w:t xml:space="preserve">a) On the existence of exchanges between Member States ................................... 55  </w:t>
        <w:br/>
        <w:t xml:space="preserve">b) On the existence of practices likely to significantly affect exchanges between Member States .......................................................................................... 56  </w:t>
        <w:br/>
        <w:t xml:space="preserve">C. On the practices .................................................................................................... 58  </w:t>
        <w:br/>
        <w:t xml:space="preserve">1. On the existence of an agreement .......................................................................... 58  </w:t>
        <w:br/>
        <w:t xml:space="preserve">a) On the concurrence of wills ................................................................................ 58  </w:t>
        <w:br/>
        <w:t xml:space="preserve">b) On the individual participation of the companies involved in the agreement .... 59  </w:t>
        <w:br/>
        <w:t xml:space="preserve">On the participation in the agreement of the Banque de France ...................... 59  </w:t>
        <w:br/>
        <w:t xml:space="preserve">On the participation in the agreement of Crédit du Nord .................................. 59  </w:t>
        <w:br/>
        <w:t xml:space="preserve">On the participation in the agreement of companies not involved .................... 60  </w:t>
        <w:br/>
        <w:t xml:space="preserve">c) On the absence of coercion .................................................................................. 60  </w:t>
        <w:br/>
        <w:t xml:space="preserve">2. On the question of ancillary restrictions ................................................................. 62  </w:t>
        <w:br/>
        <w:t xml:space="preserve">a) The applicable law ............................................................................................... 62  </w:t>
        <w:br/>
        <w:t xml:space="preserve">b) Assessment in this case ...................................................................................... 63  </w:t>
        <w:br/>
        <w:t xml:space="preserve">3. On the object of the practices ................................................................................ 65  </w:t>
        <w:br/>
        <w:t xml:space="preserve">a) The arguments of the parties ............................................................................... 65  </w:t>
        <w:br/>
        <w:t xml:space="preserve">Regarding the CEIC .......................................................................................... 65  </w:t>
        <w:br/>
        <w:t xml:space="preserve">Regarding the CSC ............................................................................................ 67  </w:t>
        <w:br/>
        <w:t xml:space="preserve">b) The applicable law ............................................................................................... 67  </w:t>
        <w:br/>
        <w:t xml:space="preserve">Anti-competitive practices by object ................................................................. 67  </w:t>
        <w:br/>
        <w:t xml:space="preserve">The decisional practice regarding interbank commissions .............................. 67  </w:t>
        <w:br/>
        <w:t xml:space="preserve">c) The economic and legal context ......................................................................... 70  </w:t>
        <w:br/>
        <w:t xml:space="preserve">The necessary coordination of banks for the organization of payment systems .................................................................................................................. 70  </w:t>
        <w:br/>
        <w:t xml:space="preserve">The free issuance of check forms ...................................................................... 71  </w:t>
        <w:br/>
        <w:t xml:space="preserve">d) The Image-Check Exchange Commission (CEIC) ............................................. 72  </w:t>
        <w:br/>
        <w:t xml:space="preserve">5  </w:t>
        <w:br/>
        <w:t xml:space="preserve">The restrictions on competition in the check collection market ...................... 73  </w:t>
        <w:br/>
        <w:t xml:space="preserve">The restrictions on competition in the check issuance market ....................... 75  </w:t>
        <w:br/>
        <w:t xml:space="preserve">The regulation of the use of different means of payment ............................... 76  </w:t>
        <w:br/>
        <w:t xml:space="preserve">e) Commissions for ancillary services (CSC) ......................................................... 77  </w:t>
        <w:br/>
        <w:t xml:space="preserve">4. On the exemption of practices .............................................................................. 78  </w:t>
        <w:br/>
        <w:t xml:space="preserve">a) Regarding the CEIC ............................................................................................ 79  </w:t>
        <w:br/>
        <w:t xml:space="preserve">On economic progress ...................................................................................... 79  </w:t>
        <w:br/>
        <w:t xml:space="preserve">On necessity ....................................................................................................... 81  </w:t>
        <w:br/>
        <w:t xml:space="preserve">Conclusion on the CEIC ................................................................................... 103  </w:t>
        <w:br/>
        <w:t xml:space="preserve">b) Regarding the CSC ............................................................................................ 103  </w:t>
        <w:br/>
        <w:t xml:space="preserve">On economic progress ...................................................................................... 103  </w:t>
        <w:br/>
        <w:t xml:space="preserve">On necessity ....................................................................................................... 104  </w:t>
        <w:br/>
        <w:t xml:space="preserve">On profit sharing ............................................................................................... 111  </w:t>
        <w:br/>
        <w:t xml:space="preserve">On the absence of elimination of competition .................................................. 112  </w:t>
        <w:br/>
        <w:t xml:space="preserve">Conclusion on the CSC .................................................................................... 112  </w:t>
        <w:br/>
        <w:t xml:space="preserve">D. On the attribution of practices ........................................................................... 112  </w:t>
        <w:br/>
        <w:t xml:space="preserve">1. On the attribution of practices to La Banque Postale .......................................... 112  </w:t>
        <w:br/>
        <w:t xml:space="preserve">a) The applicable law ............................................................................................. 113  </w:t>
        <w:br/>
        <w:t xml:space="preserve">b) Assessment in this case ................................................................................... 114  </w:t>
        <w:br/>
        <w:t xml:space="preserve">2. On the attribution of practices to LCL ................................................................ 115  </w:t>
        <w:br/>
        <w:t xml:space="preserve">3. On the attribution of practices to BPCE ............................................................... 116  </w:t>
        <w:br/>
        <w:t xml:space="preserve">E. On sanctions ......................................................................................................... 116  </w:t>
        <w:br/>
        <w:t xml:space="preserve">1. On the protection of the legitimate trust of the parties ......................................... 116  </w:t>
        <w:br/>
        <w:t xml:space="preserve">2. On the ceiling of sanctions ................................................................................... 117  </w:t>
        <w:br/>
        <w:t xml:space="preserve">a) On the applicable law ........................................................................................ 117  </w:t>
        <w:br/>
        <w:t xml:space="preserve">b) On the relevant turnover for the application of the legal ceiling .................... 117  </w:t>
        <w:br/>
        <w:t xml:space="preserve">3. On the criteria for determining sanctions .............................................................. 119  </w:t>
        <w:br/>
        <w:t xml:space="preserve">a) On the severity of the practices .......................................................................... 119  </w:t>
        <w:br/>
        <w:t xml:space="preserve">The arguments of the parties ............................................................................ 119  </w:t>
        <w:br/>
        <w:t xml:space="preserve">Assessment in this case ................................................................................... 120  </w:t>
        <w:br/>
        <w:t xml:space="preserve">b) On the importance of the damage to the economy .......................................... 125  </w:t>
        <w:br/>
        <w:t xml:space="preserve">Regarding the CEIC .......................................................................................... 125  </w:t>
        <w:br/>
        <w:t xml:space="preserve">Regarding the AOCT commissions .................................................................. 131  </w:t>
        <w:br/>
        <w:t xml:space="preserve">c) On reiteration ...................................................................................................... 132  </w:t>
        <w:br/>
        <w:t>On the existence of a prior infringement finding ............................................. 133</w:t>
      </w:r>
    </w:p>
    <w:p>
      <w:r>
        <w:rPr>
          <w:b/>
        </w:rPr>
        <w:t>[Pages 7–9]</w:t>
      </w:r>
    </w:p>
    <w:p>
      <w:r>
        <w:t xml:space="preserve">On the definitiveness, as of the date of this decision, of the finding of infringement ........................................................................................................................... 133  </w:t>
        <w:br/>
        <w:t xml:space="preserve">On the identity or similarity of practices .................................................................. 134  </w:t>
        <w:br/>
        <w:t xml:space="preserve">d) On the individual situation of the companies ......................................................... 134  </w:t>
        <w:br/>
        <w:t xml:space="preserve">4. On the amount of sanctions ................................................................................... 137  </w:t>
        <w:br/>
        <w:t xml:space="preserve">a) On the method of calculating sanctions ................................................................ 137  </w:t>
        <w:br/>
        <w:t xml:space="preserve">Regarding banks other than the Banque de France .................................................. 138  </w:t>
        <w:br/>
        <w:t xml:space="preserve">Regarding the Banque de France ............................................................................. 138  </w:t>
        <w:br/>
        <w:t xml:space="preserve">b) On individual sanctions ........................................................................................ 138  </w:t>
        <w:br/>
        <w:t xml:space="preserve">For BNP-Paribas ....................................................................................................... 138  </w:t>
        <w:br/>
        <w:t xml:space="preserve">For BPCE, succeeding to the rights and obligations of BP Participations ............... 139  </w:t>
        <w:br/>
        <w:t xml:space="preserve">For BPCE, succeeding to the rights and obligations of CE Participations ............... 139  </w:t>
        <w:br/>
        <w:t xml:space="preserve">For Crédit Agricole ................................................................................................... 139  </w:t>
        <w:br/>
        <w:t xml:space="preserve">For LCL .................................................................................................................... 140  </w:t>
        <w:br/>
        <w:t xml:space="preserve">For HSBC .................................................................................................................. 140  </w:t>
        <w:br/>
        <w:t xml:space="preserve">For CIC ..................................................................................................................... 140  </w:t>
        <w:br/>
        <w:t xml:space="preserve">For Crédit Mutuel ..................................................................................................... 141  </w:t>
        <w:br/>
        <w:t xml:space="preserve">For Société Générale ................................................................................................. 141  </w:t>
        <w:br/>
        <w:t xml:space="preserve">For Crédit du Nord ................................................................................................... 141  </w:t>
        <w:br/>
        <w:t xml:space="preserve">For La Banque Postale ............................................................................................. 142  </w:t>
        <w:br/>
        <w:t xml:space="preserve">For Banque de France ............................................................................................... 142  </w:t>
        <w:br/>
        <w:t xml:space="preserve">F. On the issuance of an injunction ......................................................................... 142  </w:t>
        <w:br/>
        <w:t xml:space="preserve">G. On the obligation of publication .......................................................................... 143  </w:t>
        <w:br/>
        <w:t>H. On the costs of the expertise ................................................................................ 146</w:t>
      </w:r>
    </w:p>
    <w:p>
      <w:r>
        <w:t xml:space="preserve">I. Findings  </w:t>
        <w:br/>
        <w:t xml:space="preserve">A. THE PROCEDURE  </w:t>
        <w:br/>
        <w:t xml:space="preserve">1. By decision No. 03-SO-01 of April 29, 2003, the Competition Council took up the situation of competition concerning the tariffs and related conditions applied by banks and financial institutions for the processing of checks submitted for collection.  </w:t>
        <w:br/>
        <w:t xml:space="preserve">2. By letter dated November 26, 2004, the General Rapporteur of the Council referred the matter for investigation to the Directorate General for Competition, Consumer Affairs and Fraud Control (DGCCRF), which submitted its report on October 7, 2005.  </w:t>
        <w:br/>
        <w:t xml:space="preserve">3. The rapporteur, appointed on February 1, 2006, by the General Rapporteur to investigate the case, sent a questionnaire to seven hundred companies regarding their banking conditions concerning check submissions in terms of both volumes and amounts, covering the years 2000 to 2006, in order to establish a general statistic (hereinafter the "price survey"). The data from this survey were the subject of decision No. 08-DSA-39 of March 10, 2008, by which the President of the Competition Council classified the responses of the surveyed companies in a confidential annex.  </w:t>
        <w:br/>
        <w:t xml:space="preserve">4. A statement of objections was sent to the banks and financial institutions involved on March 14, 2008. The referral and the statement of objections were communicated to the Banking Commission, which submitted its opinion on May 22, 2008.  </w:t>
        <w:br/>
        <w:t xml:space="preserve">5. A second rapporteur was appointed to jointly investigate the case, by decision of the General Rapporteur dated June 11, 2008.  </w:t>
        <w:br/>
        <w:t xml:space="preserve">6. Following the receipt of the parties' observations, a report was sent to them on August 14, 2008.  </w:t>
        <w:br/>
        <w:t xml:space="preserve">7. In September 2008, the parties made requests for access to the data from the price survey based on Article R. 463-15 of the Commercial Code. Some of them requested full access to this data, while others requested only the communication of the data concerning them.  </w:t>
        <w:br/>
        <w:t xml:space="preserve">8. Access for each financial institution to the data concerning it was granted by decision No. 08-DEC-12 of October 2, 2008. By decisions No. 08-DSA-192 to 08-DSA-200 of December 3, 2008, the President of the Council granted the requests for protection of business secrets made by the parties regarding the data thus communicated.  </w:t>
        <w:br/>
        <w:t xml:space="preserve">9. Furthermore, access for the parties to the data from the price survey concerning competing banks and financial institutions was arranged according to specific modalities aimed at preserving the protection of business secrets and respecting the rights of the defense.  </w:t>
        <w:br/>
        <w:t xml:space="preserve">10. To take into account the fact that each party, although having access to all the data of its own clients, did not have knowledge of the data concerning the other parties and was thus unable to control the aggregation of the data collected by the rapporteur, the General Rapporteur, by decisions of December 16, 2008, and February 17, 2009, appointed an expert based on the provisions of Articles L. 463-8 and R. 463-16 of the Commercial Code, tasked, after accessing all the responses received, with establishing a table listing the survey data deemed exploitable, incorporating any corrections that could be made by each party following the verification of its own data. The expert submitted a preliminary report on February 20, 2009, and a final report on August 11, 2009. The table was added to the file in a form preserving the anonymity of the surveyed companies.  </w:t>
        <w:br/>
        <w:t xml:space="preserve">11. The Federal Bank of Popular Banks again requested the complete declassification of the price survey data by letter dated January 12, 2009. Similarly, the National Savings Bank requested a complete declassification, except for the names of the companies concerned. By letters dated January 20, 21, and 22, 2009, BNP Paribas, Crédit Lyonnais, Crédit industriel et commercial (CIC), the National Confederation of Crédit Mutuel, Crédit du Nord, HSBC, Banque de France, National Savings Bank, and Société Générale expressed their opposition to a complete declassification of the data.  </w:t>
        <w:br/>
        <w:t xml:space="preserve">12. In order to respond to these irreconcilable requests, the President of the Competition Council, by decision No. 09-DEC-01 of February 17, 2009, authorized the counsel representing the parties to consult in the premises of the Council all the data mentioned above, in its confidential form, under conditions excluding the possibility of making copies, and subject to a commitment including a prohibition on revealing, including to their clients, the names of the clients of the banks they might become aware of. These consultations took place twice, from April 2 to 24, 2009, and from July 13 to 20, 2009.  </w:t>
        <w:br/>
        <w:t xml:space="preserve">13. A report taking into account the results of the expertise was sent to the parties on August 19, 2009, in order to complement the report of August 14, 2008, regarding the assessment of the impact on the economy of the practices alleged.  </w:t>
        <w:br/>
        <w:t xml:space="preserve">14. Access to data relating to the volumes and amounts of checks issued and submitted by each of the banks was granted by decision No. 09-DEC-22 dated October 20, 2009, under conditions similar to those established by decision No. 09-DEC-01 regarding the results of the price survey.  </w:t>
        <w:br/>
        <w:t xml:space="preserve">15. The Banking Commission issued two complementary opinions dated November 4, 2008, and October 23, 2009.  </w:t>
        <w:br/>
        <w:t xml:space="preserve">16. A hearing before the Competition Authority was held on November 24, 2009, during which the counsel for the Popular Banks, speaking on behalf of all parties, demanded unrestricted access to the data covered by decisions No. 08-DEC-12, 09-DEC-01, and 09-DEC-22.  </w:t>
        <w:br/>
        <w:t xml:space="preserve">17. By decision No. 09-S-04 of December 11, 2009, the Competition Authority referred the case for further investigation to allow the parties, on the one hand, to access all the data in question and, on the other hand, to submit final written observations.  </w:t>
        <w:br/>
        <w:t xml:space="preserve">18. This decision states that:  </w:t>
        <w:br/>
        <w:t>1 The modalities for accessing the data from the price survey are inspired by the community practice in the UK International Roaming case, COMP/38.097, which was the subject of a decision by the European Ombudsman on September 30, 2008, which considered that the principle of adversarial proceedings had been respected in this case.</w:t>
      </w:r>
    </w:p>
    <w:p>
      <w:r>
        <w:rPr>
          <w:b/>
        </w:rPr>
        <w:t>[Pages 10–12]</w:t>
      </w:r>
    </w:p>
    <w:p>
      <w:r>
        <w:t xml:space="preserve">"25. It follows from the very terms of the provisions [of Articles L. 463-2 and L. 463-4 of the Commercial Code] that the right of companies and business associations to access the file must be balanced against the protection of their trade secrets, and that this balancing requires an assessment on a case-by-case basis.  </w:t>
        <w:br/>
        <w:t xml:space="preserve">26. Article L. 463-4 of the Commercial Code, in its version prior to that resulting from Ordinance No. 2008-1161 of November 13, 2008, achieves this reconciliation by providing that at the request of one party, the protection of trade secrets of another party may be lifted if the communication or consultation of the documents in question is necessary for the exercise of its rights of defense. By virtue of paragraph 2 of Article R. 463-15 of the Commercial Code, the President of the Competition Council, in the event of opposition from the party that requested the classification of the concerned documents, conducts an arbitration between these opposing interests, taking into account the concrete situation of the parties, the nature of the information concerned, and the necessity for the requesting party to access it for its defense, which is itself linked to the nature of the notified grievance and the context of the examined market. Thus, in the presence of particularly sensitive data, of which one can understand that a company does not want it to be known to its competitors, access for the parties must be limited to only the data strictly necessary for the exercise of their rights of defense, which implies that the parties to the proceedings agree to limit their request for access to only this data.  </w:t>
        <w:br/>
        <w:t xml:space="preserve">27. The questionnaire mentioned in paragraph 5 [the price survey] was sent at the end of 2007 to seven hundred companies chosen for their importance in the market. Their responses allowed for knowledge of their banking conditions for the processing of their check deposits, both in volumes and amounts, over a wide period of time (covering the years 2001 to 2006). Their disclosure to all banks, competing with each other in this check processing market, could not be considered without caution.  </w:t>
        <w:br/>
        <w:t xml:space="preserve">28. Decisions No. 08-DEC-12, 09-DEC-01, and 09-DEC-22, by ordering, on the one hand, that each party would have access to the data concerning it and that full access to the data concerning the other parties would be through the sole lawyers and economists of the parties, within the premises of the Competition Council, according to modalities ensuring the impossibility of copying the redacted data, and providing, on the other hand, that a certifying third party would access all the documents before drawing up an anonymized table listing the survey data and accessible to the parties, attempted to reconcile the broadest possible access to the file with the legitimate protection of trade secrets.  </w:t>
        <w:br/>
        <w:t xml:space="preserve">29. The consent of the vast majority of the parties, expressed in their writings, was an important element of the balance thus established.  </w:t>
        <w:br/>
        <w:t xml:space="preserve">30. During the session of November 24, 2009, in which the implicated banks, as agreed with the chair of the session, shared the oral interventions, the counsel for Banques Populaires Participations (formerly Banque Fédérale des Banques Populaires) argued that decisions No. 08-DEC-12, 09-DEC-01, and 09-DEC-22 were not in accordance with the letter of the provisions of Articles L. 463-4 and R. 463-13 to R. 463-15 of the Commercial Code. He particularly emphasized that these provisions did not authorize an adjustment of the right to access the file, which does not distinguish between consultation and communication and does not allow for different treatment of the parties from their advisors. He deduced that this disregard for the texts and, consequently, for the adversarial nature of the procedure tainted it with irregularity.  </w:t>
        <w:br/>
        <w:t xml:space="preserve">31. To the question from the chair of the session asking whether this argument was presented on behalf of only Banques Populaires Participations, whose position during the investigation has been outlined above, or on behalf of all the implicated banks, the vast majority of which opposed the downgrading and thus the access of competitors to the data concerning them, the counsel for Banques Populaires Participations stated that he was intervening "on behalf of all the implicated banks." He was not contradicted by the representatives of the other banks or financial institutions present at the session.  </w:t>
        <w:br/>
        <w:t xml:space="preserve">32. It must be concluded that all parties now consider that, contrary to the positions previously expressed, only a total downgrading of the documents covered by decisions No. 08-DEC-12, 09-DEC-01, and 09-DEC-22 would be capable of ensuring respect for the principle of adversarial proceedings and the effective exercise of their rights of defense.  </w:t>
        <w:br/>
        <w:t xml:space="preserve">33. This new position requires a reconsideration of the balance sought in the three aforementioned decisions.  </w:t>
        <w:br/>
        <w:t xml:space="preserve">34. Consequently, the Authority, in accordance with the provisions of Article R. 463-7 of the Commercial Code, refers the file for further investigation so that the parties may, on the one hand, access, under the conditions to be determined by the reporting general, all the data covered by decisions No. 08-DEC-12, 09-DEC-01, and 09-DEC-22 and, on the other hand, submit final written observations within the timeframe that will also be set by the reporting general."  </w:t>
        <w:br/>
        <w:t xml:space="preserve">19. It was decided that:  </w:t>
        <w:br/>
        <w:t xml:space="preserve">"Single Article: The file registered under number 03/0037 F is referred for further investigation to allow the parties, on the one hand, to access, under conditions to be determined by the reporting general, all the data covered by decisions No. 08-DEC-12, 09-DEC-01, and 09-DEC-22 and, on the other hand, to submit, within a timeframe that will also be set by the reporting general, final written observations."  </w:t>
        <w:br/>
        <w:t xml:space="preserve">20. By letter dated January 5, 2010, the reporting general transmitted to the parties the data relating to the price survey and the volumes and amounts of checks issued, covered by decisions No. 08-DEC-12, 09-DEC-01, and 09-DEC-22. The parties submitted their observations within the two-month period following this transmission.  </w:t>
        <w:br/>
        <w:t>21. A new session before the Competition Authority was held on April 13, 2010.</w:t>
      </w:r>
    </w:p>
    <w:p>
      <w:r>
        <w:t xml:space="preserve">B. THE RELEVANT SECTOR  </w:t>
        <w:br/>
        <w:t xml:space="preserve">1. THE CHECK  </w:t>
        <w:br/>
        <w:t xml:space="preserve">a) The use of checks in France  </w:t>
        <w:br/>
        <w:t xml:space="preserve">22. Book I of the Monetary and Financial Code, dedicated to currency, distinguishes between fiat money – composed of metallic currency and banknotes – and scriptural money, whose main instruments are checks, payment cards, transfers, promissory notes, and bills of exchange.  </w:t>
        <w:br/>
        <w:t xml:space="preserve">23. The check is a widely used means of payment in France: in 2007, more than 3.6 billion checks were exchanged, representing, in volume, 23.6% of the scriptural payments made in France. In this regard, France constitutes a European exception and accounted for 78% of the total checks exchanged in 2006 in the euro area.  </w:t>
        <w:br/>
        <w:t xml:space="preserve">24. The use of checks continues to decline in France, mainly in favor of bank cards: while it represented 70% of payments in 1984, this figure had fallen to 50% in 1996, 37% in 2000, and 26% in 2006. However, its disappearance in the medium term is not guaranteed, as users continue to prefer it to cards for high-value payments: according to data from the Banque de France, the average amount of a check was 555 euros in 2005, more than ten times higher than the average amount of purchases made by bank card, which was 50 euros.  </w:t>
        <w:br/>
        <w:t xml:space="preserve">b) The issuance and delivery of checks in France  </w:t>
        <w:br/>
        <w:t>25. Scriptural payment means such as checks allow for the transfer of funds held in accounts by credit institutions or similar institutions following the submission of a payment order."</w:t>
      </w:r>
    </w:p>
    <w:p>
      <w:r>
        <w:rPr>
          <w:b/>
        </w:rPr>
        <w:t>[Pages 13–15]</w:t>
      </w:r>
    </w:p>
    <w:p>
      <w:r>
        <w:t>26. The quadripartite system specific to checks involves four actors according to the following scheme:</w:t>
        <w:br/>
        <w:t>The check: a quadripartite payment system</w:t>
        <w:br/>
        <w:t>Compensation system</w:t>
        <w:br/>
        <w:t>Bank Bank</w:t>
        <w:br/>
        <w:t>drawer presenting</w:t>
        <w:br/>
        <w:t>Beneficiary</w:t>
        <w:br/>
        <w:t>Payer of the payment</w:t>
        <w:br/>
        <w:t>Payment</w:t>
      </w:r>
    </w:p>
    <w:p>
      <w:r>
        <w:t>27. In France, the provision and management of payment instruments fall under the banking monopoly and are in principle reserved for credit institutions, pursuant to the provisions of Articles L. 311-1 and L. 511-5 of the Monetary and Financial Code. The status of a credit institution is subject to obtaining an authorization granted by the Committee of Credit Institutions and Investment Firms (CECEI) – merged within the Prudential Control Authority (ACP) on March 9, 2010 – and imposes compliance with binding regulations, under the supervision of the Banking Commission.</w:t>
      </w:r>
    </w:p>
    <w:p>
      <w:r>
        <w:t>28. There were 775 authorized credit institutions in France as of December 31, 2007. However, not all of these credit institutions are active in the payment instruments market, which is primarily occupied by large banking brands with branch networks.</w:t>
      </w:r>
    </w:p>
    <w:p>
      <w:r>
        <w:t>29. The issuance of checks is regulated in order to protect consumers against credit institutions. Article L. 131-71 of the Monetary and Financial Code thus requires banks to make "check forms (...) available free of charge to the account holder." As part of the right to an account, credit institutions are obliged to provide their clients with two bank checks per month (Article D. 312-5 of the Monetary and Financial Code). Finally, banking fees are regulated in the event of payment incidents.</w:t>
      </w:r>
    </w:p>
    <w:p>
      <w:r>
        <w:t>30. In contrast, the presentation of checks is not, apart from the constraint of the banking monopoly, subject to specific regulatory constraints. Banks distinguish within the category of presenters, depending on whether they present checks regularly and in large numbers or on an episodic basis and in small quantities. Indeed, while consumers are not directly charged, "large presenters" are, either on the basis of a flat fee (in the case of small and medium-sized merchants) or per transaction (in the case of very large presenters such as large retail companies that handle, at the national level, volumes of checks ranging from a few million to nearly 100 million checks per year).</w:t>
      </w:r>
    </w:p>
    <w:p>
      <w:r>
        <w:t>c) The remuneration methods for services related to the use and presentation of checks</w:t>
      </w:r>
    </w:p>
    <w:p>
      <w:r>
        <w:t>31. Generally, banks seek the overall profitability of the services they offer at the level of each client and not service by service. Within this overall relationship, all payment flows (bank cards, checks, cash, etc.), credits, investments, or even account management can be taken into account by the bank to determine the price of banking services that will actually be charged to a given client. A service can thus be offered at a price that implies a loss if another item allows covering that loss.</w:t>
      </w:r>
    </w:p>
    <w:p>
      <w:r>
        <w:t>32. Furthermore, the remuneration methods for services related to the use of payment instruments such as checks are varied and can be combined:</w:t>
        <w:br/>
        <w:t>- direct pricing of the check presentation service, for example through transaction fees charged to clients or flat rates;</w:t>
        <w:br/>
        <w:t>- float, which corresponds to the income from the bank's investment for its own account of the amounts available in the credit of current accounts which are normally not remunerated, the system of value dates potentially increasing this remuneration;</w:t>
        <w:br/>
        <w:t>- movement fees, applied to a professional clientele, which correspond to a deduction on each debit transaction made by the business or receipt fees, which are rarer, consisting of a deduction on each credit transaction.</w:t>
      </w:r>
    </w:p>
    <w:p>
      <w:r>
        <w:t>33. The speed of a payment system influences the level of bank remuneration through float: a slow system, characterized by a significant delay between the issuance of the payment order and the debit of the client's account, benefits the payer's bank, which has longer access to the amounts available in the credit of its client's account to invest for its profit. Conversely, a fast payment system benefits the bank of the payment beneficiary.</w:t>
      </w:r>
    </w:p>
    <w:p>
      <w:r>
        <w:t>d) The interbank check compensation system</w:t>
      </w:r>
    </w:p>
    <w:p>
      <w:r>
        <w:t>34. The bank of the issuer of a check (the "drawer") is not necessarily the same as the bank of the beneficiary (the "presenter"), thus an interbank settlement system allows for the daily compensation of the respective claims of the banks arising from these payments.</w:t>
      </w:r>
    </w:p>
    <w:p>
      <w:r>
        <w:t>35. This procedure is governed by Article L. 330-1 of the Monetary and Financial Code, which states: "An interbank settlement system (...) refers to a national or international procedure organizing the relations between at least two parties, allowing for the habitual execution, by compensation or not, of payments (...) / The system must either have been established by a public authority or be governed by a framework agreement respecting the general principles of a market framework agreement or by a standard agreement." In the case of checks, the regulation no. 2001-04 of October 29, 2001, of the Banking and Financial Regulation Committee (CRBF) regarding the compensation of checks states that "any subject bank drawn on checks is required to participate, directly or through a representative, in the operations of check compensation within the framework of an interbank settlement system as defined in Article L. 330-1 of the Monetary and Financial Code."</w:t>
      </w:r>
    </w:p>
    <w:p>
      <w:r>
        <w:t>36. In France, there are three interbank payment systems: two systems reserved for high amounts, TBF and PNS, and a system specific to retail payments, the Interbank Telecompensation System (SIT). In 2007, the SIT exchanged and compensated 12,439 billion interbank operations, of which 24% were payments by checks, for an amount of 5,206.95 billion euros.</w:t>
      </w:r>
    </w:p>
    <w:p>
      <w:r>
        <w:t>37. When questioned by the investigating services, the administrator of G-SIT, the economic interest group formed by banks to operate the SIT, estimated that 18% of the total number of checks in France did not transit through the SIT (i.e., 720 million checks out of the 4.1 billion checks issued in 2004), namely mainly intrabank checks (see also the Banque de France website).</w:t>
      </w:r>
    </w:p>
    <w:p>
      <w:r>
        <w:t>e) The subcontracting of check presentation</w:t>
      </w:r>
    </w:p>
    <w:p>
      <w:r>
        <w:t>38. The subcontracting of check presentation procedures, in principle excluded by the principle of the banking monopoly, is however authorized by a professional agreement signed on July 9, 2003, in application of the provisions of Article 7 of regulation 2001-04 of the CRBF. The agreement stipulates that subcontractors must be approved by the banks and act under the full responsibility of these institutions.</w:t>
      </w:r>
    </w:p>
    <w:p>
      <w:r>
        <w:t>39. In its opinion no. 03-A-15 dated July 25, 2003, regarding the acquisition of Atos Investissement by Experian Holding France, the Competition Council estimated that subcontracting represented in 2002 a volume of 3.3 billion checks out of the 4.5 billion checks issued. In this market, valued at 221 million euros, the top five companies held 85% of the market shares, with the top two deciding to merge (which led to the Council's opinion). The check subcontracting market is subject to two opposing influences: the decline in the use of checks and the increasing outsourcing by banks of check processing activities.</w:t>
      </w:r>
    </w:p>
    <w:p>
      <w:r>
        <w:t>2. THE PARTIES INVOLVED</w:t>
      </w:r>
    </w:p>
    <w:p>
      <w:r>
        <w:t>a) Presentation of the parties</w:t>
      </w:r>
    </w:p>
    <w:p>
      <w:r>
        <w:t>BNP-Paribas</w:t>
      </w:r>
    </w:p>
    <w:p>
      <w:r>
        <w:t>40. The BNP-Paribas group was born from the merger between BNP and Paribas in May 2000. In May 2009, it acquired the activities of Fortis in Belgium and Luxembourg, thus becoming a leading player in banking and financial services in Europe. It is by...</w:t>
      </w:r>
    </w:p>
    <w:p>
      <w:r>
        <w:rPr>
          <w:b/>
        </w:rPr>
        <w:t>[Pages 16–18]</w:t>
      </w:r>
    </w:p>
    <w:p>
      <w:r>
        <w:t>40. BNP-Paribas Group was born from the merger between BNP and Paribas in May 2000. In May 2009, it acquired the activities of Fortis in Belgium and Luxembourg, thus becoming a leading player in banking and financial services in Europe. It is also the first French bank in terms of net banking income. It derived 45% of its revenue from retail banking in 2009.</w:t>
      </w:r>
    </w:p>
    <w:p>
      <w:r>
        <w:t>Société Générale</w:t>
        <w:br/>
        <w:t>41. Founded in 1864, Société Générale ranks third among the major French banks in terms of net banking income. The group relies in France on two complementary distribution networks, the Société Générale branches and those of Crédit du Nord, of which it has held 100% of the capital since 2009. While Société Générale is present in the main banking sectors, retail banking constitutes its primary activity and represents approximately 50% of its net banking income.</w:t>
      </w:r>
    </w:p>
    <w:p>
      <w:r>
        <w:t>Crédit du Nord</w:t>
        <w:br/>
        <w:t>42. Crédit du Nord Group is a federation comprising seven regional banks, an asset management company, and a brokerage firm. Société Générale has held 100% of its capital since December 11, 2009.</w:t>
      </w:r>
    </w:p>
    <w:p>
      <w:r>
        <w:t>Crédit Agricole</w:t>
        <w:br/>
        <w:t>43. Crédit Agricole SA is a public limited company serving as the central body of the Crédit Agricole network. It is majority controlled by the regional Crédit Agricole funds.</w:t>
      </w:r>
    </w:p>
    <w:p>
      <w:r>
        <w:t>44. The group is active in the sectors of retail banking, both in France and internationally, specialized financial services (asset management, insurance, private banking, consumer credit, leasing, factoring), as well as financing and investment banking.</w:t>
      </w:r>
    </w:p>
    <w:p>
      <w:r>
        <w:t>45. Crédit Agricole SA acquired Crédit Lyonnais on June 19, 2003.</w:t>
      </w:r>
    </w:p>
    <w:p>
      <w:r>
        <w:t>LCL – Crédit Lyonnais</w:t>
        <w:br/>
        <w:t>46. On August 4, 2003, Crédit Lyonnais (which became LCL in 2005) became a subsidiary of Crédit Agricole SA with over 99% ownership. Operating under its own brand, LCL is a proximity bank in France for individuals, professionals, and businesses, with a strong urban presence. Its banking offer encompasses the entire range of banking products and services, asset management and insurance products, and wealth management.</w:t>
      </w:r>
    </w:p>
    <w:p>
      <w:r>
        <w:t>Banques Populaires</w:t>
        <w:br/>
        <w:t>47. The Federal Bank of Banques Populaires (hereinafter "BFBP") is a public limited company that qualifies as an approved credit institution as a bank and serves as the central body of the Banques Populaires network.</w:t>
      </w:r>
    </w:p>
    <w:p>
      <w:r>
        <w:t>48. It is owned by the various affiliated institutions, namely 18 regional Banques Populaires, CASDEN Banque Populaire, and, since the acquisition in 2002 of the Crédit Coopératif group, Crédit Coopératif Banque Populaire. These institutions have the legal status of cooperative public limited companies with variable capital.</w:t>
      </w:r>
    </w:p>
    <w:p>
      <w:r>
        <w:t>49. As the central body, BFBP carries out within the GBP the missions of defining strategy, coordinating, and animating all entities over which it exercises administrative, technical, and financial control. It implements the financial solidarity of the group, defines policy and strategic orientations, negotiates and concludes, on behalf of its network, national and international agreements.</w:t>
      </w:r>
    </w:p>
    <w:p>
      <w:r>
        <w:t>50. On July 31, 2009, BFBP merged with the National Fund of Savings Banks to form BPCE (see the decision of the Competition Authority No. 09-DCC-016 of June 22, 2009, regarding the merger between the Caisse d'Epargne and Banque Populaire groups). On this occasion, the company changed its name to become Banques Populaires Participations ("BP Participations").</w:t>
      </w:r>
    </w:p>
    <w:p>
      <w:r>
        <w:t>51. The group is primarily active in the banking, real estate, and insurance sectors.</w:t>
      </w:r>
    </w:p>
    <w:p>
      <w:r>
        <w:t>Caisses d’Epargne</w:t>
        <w:br/>
        <w:t>52. The National Fund of Savings Banks (hereinafter "CNCE"), a public limited company, is an approved credit institution as a bank, combining the functions of the central body of the affiliated institutions and the head of the network.</w:t>
      </w:r>
    </w:p>
    <w:p>
      <w:r>
        <w:t>53. The Caisse d’Épargne Group consists of 17 regional Savings and Provident Banks (comprising 287 local savings companies and 3.7 million members), which hold the capital of CNCE. The consultation and representation body of CNCE is the National Federation of Savings Banks.</w:t>
      </w:r>
    </w:p>
    <w:p>
      <w:r>
        <w:t>54. On July 31, 2009, CNCE merged with the Federal Bank of Banques Populaires to form BPCE. On this occasion, the company changed its name to become Caisse d’Epargne Participations ("CE Participations").</w:t>
      </w:r>
    </w:p>
    <w:p>
      <w:r>
        <w:t>55. The group is active in the sectors of retail banking and commercial banking through the Caisses d’Épargne, Crédit Foncier, and Banque Palatine, in the real estate services sector through a set of companies, and in the insurance sector.</w:t>
      </w:r>
    </w:p>
    <w:p>
      <w:r>
        <w:t>HSBC (Hong Kong Shanghai Banking Corp.)</w:t>
        <w:br/>
        <w:t>56. HSBC, a company governed by English law with its headquarters in London, is one of the largest banking and financial services groups in the world. Its international network consists of approximately 8,000 branches in 88 countries.</w:t>
      </w:r>
    </w:p>
    <w:p>
      <w:r>
        <w:t>57. HSBC France has grouped together since 2000 all the banks of the former Crédit Commercial de France (CCF) group: UBP, Banque Hervet, Banque de Picardie, Banque de Baecque-Beau. Its activities are carried out in the fields of network banking, large clientele, asset management and insurance, as well as private banking.</w:t>
      </w:r>
    </w:p>
    <w:p>
      <w:r>
        <w:t>La Banque Postale</w:t>
        <w:br/>
        <w:t>58. La Banque Postale is a banking subsidiary of the La Poste group, which holds 100% of its capital. Its creation occurred following an agreement concluded between La Poste and the State on January 13, 2004, by changing the name of the company Efiposte, a subsidiary of La Poste that was engaged in the reception, transmission, and execution of financial orders, and by extending its corporate purpose to banking operations. As of March 1, 2010, La Banque Postale became a public limited company.</w:t>
      </w:r>
    </w:p>
    <w:p>
      <w:r>
        <w:t>59. The La Poste group is active in the sectors of mail, parcels, express services, and financial services.</w:t>
      </w:r>
    </w:p>
    <w:p>
      <w:r>
        <w:t>Crédit Mutuel</w:t>
        <w:br/>
        <w:t>60. Crédit Mutuel is a French mutual bank. The National Confederation of Crédit Mutuel, an association governed by the law of July 1, 1901, serves as the central body of the network.</w:t>
      </w:r>
    </w:p>
    <w:p>
      <w:r>
        <w:t>61. The Crédit Mutuel Group consists of 18 regional groups (comprising 287 regional funds and 1,890 local funds), which hold the capital of the National Confederation of Crédit Mutuel.</w:t>
      </w:r>
    </w:p>
    <w:p>
      <w:r>
        <w:t>62. With its subsidiary, Crédit Industriel et Commercial, the Crédit Mutuel group constitutes the second retail bank in France and is active in the banking and insurance sectors.</w:t>
      </w:r>
    </w:p>
    <w:p>
      <w:r>
        <w:t>Crédit Industriel et Commercial (CIC)</w:t>
        <w:br/>
        <w:t>63. Crédit Industriel et Commercial (hereinafter CIC), established in 1859, is a grouping of seven regional banks. Crédit Mutuel, which acquired 67% of CIC's capital in 1998, became its sole shareholder in 2001.</w:t>
      </w:r>
    </w:p>
    <w:p>
      <w:r>
        <w:t>Banque de France</w:t>
        <w:br/>
        <w:t>64. The Banque de France was created in 1800. Its capital belongs to the State under Article L. 142-1 of the monetary and financial code. A member of the Eurosystem since 1999, it contributes to the preparation and implementation of the single monetary policy of the euro area. As the central bank, it ensures the proper circulation of money, monitors markets, supervises payment means and systems, and more generally, financial stability.</w:t>
      </w:r>
    </w:p>
    <w:p>
      <w:r>
        <w:t>65. The Banque de France also engages in commercial banking activities. While it no longer has individual clients except for its staff, it remains the bank of the public treasury and a few historical operators such as SNCF and France Télécom.</w:t>
      </w:r>
    </w:p>
    <w:p>
      <w:r>
        <w:t>b) Volumes of interbank checks issued and received by the parties</w:t>
        <w:br/>
        <w:t>66. The following table indicates the number of interbank checks drawn (corresponding to the right column "volumes received") and interbank checks issued (corresponding to the left column "volumes issued") by the main banking networks active in France during the year 2002, the first year of implementation of the dematerialization of interbank check clearing:</w:t>
      </w:r>
    </w:p>
    <w:p>
      <w:r>
        <w:rPr>
          <w:b/>
        </w:rPr>
        <w:t>[Pages 19–21]</w:t>
      </w:r>
    </w:p>
    <w:p>
      <w:r>
        <w:t xml:space="preserve">Source: G-SIT, reference 4076  </w:t>
        <w:br/>
        <w:t xml:space="preserve">C. THE IDENTIFIED PRACTICES  </w:t>
        <w:br/>
        <w:t xml:space="preserve">1. THE INTERBANK CHECK EXCHANGE SYSTEM BEFORE 2002  </w:t>
        <w:br/>
        <w:t xml:space="preserve">67. Until 2002, the daily settlement of the respective claims of banks arising from check payments was carried out manually, in one of the 104 clearing houses made available by the Banque de France in its branches. The banks within the jurisdiction of each clearing house physically transported the check stubs they had received from their depositing clients in order to proceed with their exchange.  </w:t>
        <w:br/>
        <w:t xml:space="preserve">68. Considered archaic by all the banks interviewed during the investigation, the manual clearing system incurred significant administrative costs for them. This explains the project to dematerialize the exchange of claims arising from check payments, which could be achieved through the creation of an "image" of the check, either by the merchant receiving the payment or by the depositing bank at the time of deposit. Dematerialization had already been implemented for automated transfers, bills of exchange, card payments, and telepayments. By the end of the 1990s, the check remained the only French payment instrument not integrated into the SIT due to its lack of national dematerialization.  </w:t>
        <w:br/>
        <w:t xml:space="preserve">69. A first attempt at check dematerialization was made with the creation of nine Regional Check Image Exchange Centers (CREIC), but the regional dimension of the project, as well as the small number of checks processed (less than 10% of checks issued in France according to the Banque de France), could not meet the demand for the dematerialization of the billions of checks exchanged each year at the national level. This large-scale reform was considered twice, in 1988 and 1991, but faced several obstacles, of a technical, social (the elimination of jobs related to manual check clearing), and financial nature (the acceleration of exchanges altering the cash flow balances between banks).  </w:t>
        <w:br/>
        <w:t xml:space="preserve">2. THE TRANSITION TO THE CHECK IMAGE EXCHANGE SYSTEM (EIC)  </w:t>
        <w:br/>
        <w:t xml:space="preserve">a) The favorable conditions for the transition to the EIC in 1999  </w:t>
        <w:br/>
        <w:t xml:space="preserve">70. In 1999, a third opportunity to achieve the dematerialization of checks arose in a more favorable context. The introduction of the euro on January 1, 2002, was perceived both as an opportunity and as one of the last chances to modernize the French system. The temporary coexistence of the two currencies required the creation of a specific clearing circuit for euro checks alongside the clearing circuit for franc checks. It was then possible to either maintain a physical clearing system, which would incur additional administrative costs, or to create a dematerialized clearing circuit, allowing the paper exchange to disappear at the same time as the franc checks.  </w:t>
        <w:br/>
        <w:t xml:space="preserve">71. Furthermore, the Banque de France wished to reduce its costs by eliminating the provision of its branch network for the operation of the 104 clearing houses. It also indicated in its observations that the social obstacles had become surmountable by that date (observations of May 27, 2008, reference 6756 et seq., § 40).  </w:t>
        <w:br/>
        <w:t xml:space="preserve">72. Finally, the clearing system for non-material claims SIT had been designed from the outset to eventually accommodate check flows. The administrator of the G-SIT indicated during his hearing on March 9, 2007: "for the G-SIT, the implementation of the EIC was fully absorbed without additional cost, as fixed costs were not dependent on volume and the SIT network had been designed from the outset to support 100% dematerialization of interbank payment means." The integration of check flows into dematerialized payment circuits also had the effect of consolidating the SIT's lead over its European competitors, which could provide French banks with an advantage in the establishment of the European Single Payment Area.  </w:t>
        <w:br/>
        <w:t xml:space="preserve">73. An internal document from Crédit Mutuel indicates that in 1999, banks estimated the administrative savings related to the transition to a dematerialized clearing system at 600 million francs (91 million euros) per year for the entire profession (reference 1901). This is confirmed by the report of the working group "evolution of check exchanges," composed of the nine banking institutions processing the largest volumes of checks, dated May 6, 1999: "compared to the physical exchange solution in clearings, this EIC solution would represent an overall saving for the profession in terms of administrative processing costs."  </w:t>
        <w:br/>
        <w:t xml:space="preserve">b) The meetings of the Inter-Network Commission  </w:t>
        <w:br/>
        <w:t xml:space="preserve">74. The negotiations that led to the adoption of the Check Image Exchange (EIC) clearing system were conducted within two commissions bringing together the main banking institutions.  </w:t>
        <w:br/>
        <w:t xml:space="preserve">75. The technical modalities of the reform, consensual, were defined within the French Banking Organization and Standardization Committee (CFONB). It was decided to eliminate the physical circulation of 98% of checks, with physical exchange being maintained for high-value checks (over 5000 euros), non-standard checks, and randomly selected checks for control purposes (see the summary of the report of May 6, 1999, and the report to the CFNOB of October 22, 1999, on the updating of standards relating to the exchange of Check Images, reference 1403 et seq.). Consequently, almost all checks are now blocked at the level of the depositing bank, which ensures their administrative processing.  </w:t>
        <w:br/>
        <w:t xml:space="preserve">76. The issues related to defining the interbank conditions of the new system were the subject of negotiations within the Inter-Network Commission (hereinafter "CIR"), which included Crédit Mutuel, Crédit Agricole, Banque de France, BNP-Paribas, Société Générale, Banques Populaires, La Poste, Caisses d’Epargne, Crédit Lyonnais, Crédit Commercial de France, CIC, and Crédit du Nord. The G-SIT, the Office for Banking and Financial Coordination (OCBF), and the French Banking Association (AFB) also followed the progress of the negotiations. These negotiations focused on four points:  </w:t>
        <w:br/>
        <w:t xml:space="preserve">- the check exchange time (HAJE, or end-of-day exchange time);  </w:t>
        <w:br/>
        <w:t xml:space="preserve">- the gap between the check exchange date and the interbank settlement date;  </w:t>
        <w:br/>
        <w:t xml:space="preserve">- the direction, amount, and calculation methods of an interbank commission;  </w:t>
        <w:br/>
        <w:t xml:space="preserve">- and the conditions applicable to related operations.  </w:t>
        <w:br/>
        <w:t xml:space="preserve">77. A small working group was established, tasked with preparing a report to "present solutions regarding interbank conditions likely to gain agreement within the profession."  </w:t>
        <w:br/>
        <w:t xml:space="preserve">78. The working group submitted a report on June 22, 1999, on the first three questions identified above (references 914 et seq.). It made various proposals to the CIR concerning the two main issues of the EIC identified by the banks: the modification of cash flow balances between banks due to the acceleration of check clearing, and the issue of the consistency of payment means.  </w:t>
        <w:br/>
        <w:t xml:space="preserve">The modification of cash flow balances between banks  </w:t>
        <w:br/>
        <w:t xml:space="preserve">The choice of the interbank settlement date and the acceleration of check exchanges  </w:t>
        <w:br/>
        <w:t xml:space="preserve">79. The dematerialization of exchanges allowed for a reduction in the processing time of interbank clearing operations, as this system provided for computerized clearing instead of manual processing requiring transport to the clearing house.  </w:t>
        <w:br/>
        <w:t xml:space="preserve">8 The CIR distinguishes the purchase date (DA): the date on which the drawer hands the check to the payee, the deposit date (DR): the date on which the payee hands the check to their bank, the exchange date (DE): the date of presentation of the check for clearing, and the interbank settlement date (DRI).  </w:t>
        <w:br/>
        <w:t>9 Representatives from Caisses d’Epargne, Banques Populaires, Crédit Agricole, Crédit Lyonnais, Crédit Mutuel, La Poste, Société Générale, Banque de France, CCF, and BNP participated in this group (reference 929).</w:t>
      </w:r>
    </w:p>
    <w:p>
      <w:r>
        <w:rPr>
          <w:b/>
        </w:rPr>
        <w:t>[Pages 22–24]</w:t>
      </w:r>
    </w:p>
    <w:p>
      <w:r>
        <w:t>80. According to the report of June 22, 1999 (reference 917), the average delay between the date of purchase (DA) and the interbank settlement date (DRI) in the old manual check clearing system was estimated at 3.4 days, broken down as follows:</w:t>
      </w:r>
    </w:p>
    <w:p>
      <w:r>
        <w:t>81. The delay between the exchange date (DE) and the interbank settlement date (DRI) was known: it was one day (J+1) for checks drawn on a bank belonging to the same clearing house as the presenting bank (checks "on-site," corresponding to 88% of the capital according to the report), and three days (J+3) for checks drawn on a bank belonging to a different clearing house than that of the presenting bank (checks "off-site," or 12% of the capital according to the report), resulting in an average of 1.2 days.</w:t>
      </w:r>
    </w:p>
    <w:p>
      <w:r>
        <w:t>82. The delay between the date of purchase (DA) and the exchange date (DE) was not known, and its estimation is based on assumptions made by the working group. The report assumes an average delay between the date of purchase (DA) and the date of presentation (DR) of one day, as well as a delay between the date of presentation (DR) and the exchange date (DE) of one day for 82% of the capital and two days for 18% of the capital (checks "off-site repaid"), resulting in an average of 1.2 days.</w:t>
      </w:r>
    </w:p>
    <w:p>
      <w:r>
        <w:t>83. The report of June 22, 1999, proposes an assessment of the acceleration of check exchanges enabled by the future EIC system.</w:t>
      </w:r>
    </w:p>
    <w:p>
      <w:r>
        <w:t>84. It takes into account three acceleration factors:</w:t>
        <w:br/>
        <w:t>- the possibility for customers to present check images to their bank (reduction of the gap between DA and DR);</w:t>
        <w:br/>
        <w:t>- the fact that an intangible claim exchanges faster than a paper claim (reduction of the gap between DR and DE);</w:t>
        <w:br/>
        <w:t>- the disappearance of physical clearing houses and thus the distinction between "off-site" and "on-site" checks (reduction of the gap between DE and DRI).</w:t>
      </w:r>
    </w:p>
    <w:p>
      <w:r>
        <w:t>85. Furthermore, the report indicates that the acceleration of exchanges relies on two factors that must be decided by the CIR:</w:t>
        <w:br/>
        <w:t>- the choice of the End of Day Exchange Time (hereinafter HAJE), that is, the cut-off time for exchanging check images presented during a day, which affects the delay between the date of purchase (DA) and the exchange date (DE);</w:t>
        <w:br/>
        <w:t>- the definition of the delay between the exchange date (DE) and the interbank settlement date (DRI), now identical for all checks.</w:t>
      </w:r>
    </w:p>
    <w:p>
      <w:r>
        <w:t>86. The report thus considers the expected acceleration of exchanges according to various hypotheses (HAJE at 9 a.m. or 6 p.m.; DE-DRI delay from zero to two business days). According to the report: "it is with a gap between exchange and settlement of two business days that we deviate the least from the current average Interbank Settlement Date of 3.4 days. (...) But it can rightly be considered that it is not a good solution to substitute delays that originated from the routing and processing of papers with conventional delays between exchange and settlement applied to magnetic recordings. In this case, it would be legitimate to study solutions where the delay between exchange and settlement would be one day, or even zero days in the case of HAJE at 9 a.m. for which this would be technically possible. And, as such solutions modify the Interbank Settlement Dates, one must consider the question of a commission between banks to maintain balances between the banks on one hand, and between payment methods on the other" (reference 922).</w:t>
      </w:r>
    </w:p>
    <w:p>
      <w:r>
        <w:t>87. For the choice of a HAJE at 6 p.m., and a gap between DE and DRI of 1 business day, which corresponds to the choice ultimately adopted by the CIR, the working group estimates that the delay between DA and DRI will be between 1.8 and 2.3 business days in the new EIC system (reference 922). This thus corresponds, compared to the old system, to an acceleration of exchanges between 1.1 and 1.6 business days.</w:t>
      </w:r>
    </w:p>
    <w:p>
      <w:r>
        <w:t>88. The report thus analyzes the consequences of the acceleration of exchanges for the banking sector as a whole, and for each institution in particular: "In terms of balance, if we consider only the point of view of interbank exchanges, any modification of the interbank settlement date results in a zero-sum game for the profession. Each institution gains or loses depending on the average balance of its exchanges and its ability to take advantage, better or worse than others, of the rapid collection opportunities offered by the new system (...) [I]f we consider the point of view of each institution, each must add to the above elements concerning it:</w:t>
        <w:br/>
        <w:t>- the savings and additional administrative costs of processing operations as the presenting bank and as the drawee bank,</w:t>
        <w:br/>
        <w:t>- the consequences that the new interbank rules could have on potential transfers of customer flows. (...)</w:t>
        <w:br/>
        <w:t>These calculations, which we know carry a degree of uncertainty, must be made in a steady state by integrating the amortization of the additional costs related to the transition from one system to another" (reference 915).</w:t>
      </w:r>
    </w:p>
    <w:p>
      <w:r>
        <w:t>The establishment of an interbank commission</w:t>
      </w:r>
    </w:p>
    <w:p>
      <w:r>
        <w:t>89. The acceleration of the processing time for checks results in a modification of the cash flow balances between banks, as the banks predominantly drawn on checks lose access to the idle balances of check issuers more quickly, and thus the ability to earn remuneration through float by placing the corresponding amounts to their profit, while the banks predominantly presenting checks benefit from the ability to place the corresponding amounts collected by the beneficiaries of the checks more quickly.</w:t>
      </w:r>
    </w:p>
    <w:p>
      <w:r>
        <w:t>90. To compensate for this modification, the report of June 22, 1999, proposes to the CIR the application of a commission on the transaction paid by the presenting bank to the drawee bank.</w:t>
      </w:r>
    </w:p>
    <w:p>
      <w:r>
        <w:t>91. The report proposes to adopt the principle of a fixed amount commission per check drawn. It specifies that "if this commission were proportional to the amount of the checks, it would not bring anything else in relation to the gaps between exchange and settlement other than the disadvantage of being subject to VAT, a significant portion of which is not recoverable by banks. If this commission were a fixed amount per check, it would fit into the logic of remuneration for services rendered by fixed commissions between banks for automated payment methods collected by the creditor. Indeed, for other payment methods of this type, Direct Debit Notices, TIP, LCR, and card payments, the creditor's bank already pays a commission to the debtor's bank" (reference 922).</w:t>
      </w:r>
    </w:p>
    <w:p>
      <w:r>
        <w:t>92. The report calculates the commission that would be capable of compensating on average the "interbank cash flow gap," under various assumptions of HAJE / DE-DRI choices. This amount is calculated by the product of the average check amount (3,000 francs), the acceleration of the expected interbank settlement delay (1.1 to 1.6 business days), and the interest rate at which the bank can place the amounts at its disposal (3%).</w:t>
      </w:r>
    </w:p>
    <w:p>
      <w:r>
        <w:t>The "coherence between different payment methods"</w:t>
      </w:r>
    </w:p>
    <w:p>
      <w:r>
        <w:t>93. The concern of not making checks more attractive than other less costly automated payment methods is also raised by the restricted working group of the CIR in support of the principle of creating an interbank commission.</w:t>
      </w:r>
    </w:p>
    <w:p>
      <w:r>
        <w:t>94. According to the report of June 22, 1999: "Beyond the balance specific to the transition to the EIC, one must not lose sight of the fact that the check will remain a payment method whose essential part of processing will remain in paper form. Its overall cost to the community will therefore remain higher than that of automated payment methods. It should not be that certain actors are led to prefer the check with EIC to automated payment methods solely because the conditions between banks that would be retained..."</w:t>
      </w:r>
    </w:p>
    <w:p>
      <w:r>
        <w:rPr>
          <w:b/>
        </w:rPr>
        <w:t>[Pages 25–27]</w:t>
      </w:r>
    </w:p>
    <w:p>
      <w:r>
        <w:t>make them more attractive than the latter either for the creditor-bank pair of the creditor or for the debtor-bank pair of the debtor" (reference 916).</w:t>
      </w:r>
    </w:p>
    <w:p>
      <w:r>
        <w:t>95. The report compares the interbank conditions related to checks with those of other payment methods, all characterized by the payment of interbank commissions (references 925 and 926)11:</w:t>
      </w:r>
    </w:p>
    <w:p>
      <w:r>
        <w:t>96. According to the same report: "The check with EIC will be as efficient as the payment methods with which it competes regarding the time until interbank exchange. For creditors and their banks not to prefer it over other payment methods, the overall situation, including the commission paid by the presenting bank, the gap between exchange and settlement, must not be more favorable to the presenting bank for the check with EIC. The main competitors of the check are the TIP for remote payment, which is settled on D+1 with a commission of 0.50 F, and the card for proximity payment, which is settled on D with a fixed commission of 0.70 F plus a proportional commission corresponding to the guarantee" (reference 912).</w:t>
      </w:r>
    </w:p>
    <w:p>
      <w:r>
        <w:t>97. The conclusion of the report dated June 22, 1999, summarizes the questions submitted for the decision of the participants: "The analyses conducted by the working group lead it to pose the following questions to the decision-making bodies:</w:t>
        <w:br/>
        <w:t>- Is it desirable for the chosen solution to maintain the balances between banks?</w:t>
        <w:br/>
        <w:t>- Is it possible and desirable to create a fixed commission between banks for the EIC in line with what is done for other payment methods presented for collection?</w:t>
        <w:br/>
        <w:t>11 AP: direct debit; LCR: bill of exchange statement</w:t>
      </w:r>
    </w:p>
    <w:p>
      <w:r>
        <w:t>25</w:t>
      </w:r>
    </w:p>
    <w:p>
      <w:r>
        <w:t>- Is it preferable to maintain for the check a remuneration between banks through timeframes? And in this case, should it be done by maintaining the current paper exchanges? Or can it be done with EIC and a gap between exchange and settlement of two days?</w:t>
        <w:br/>
        <w:t>- Should EIC be implemented under conditions that benefit presenters with an improvement in collection times?"</w:t>
      </w:r>
    </w:p>
    <w:p>
      <w:r>
        <w:t>The respective positions of the banks on these points</w:t>
      </w:r>
    </w:p>
    <w:p>
      <w:r>
        <w:t>98. It follows from the report dated June 22, 1999, and the minutes of the CIR meeting on July 1, 1999, that the banks initially defended divergent positions during the negotiations: (Summary of the report on interbank conditions of the EIC, reference 913)</w:t>
      </w:r>
    </w:p>
    <w:p>
      <w:r>
        <w:t>99. Representatives of various banking institutions express their views during the CIR meeting on July 1, 1999.</w:t>
      </w:r>
    </w:p>
    <w:p>
      <w:r>
        <w:t>100. The minutes of this meeting (references 930 et seq.) show that some banks criticize the proposal for a fixed interbank commission, either for principled reasons or for reasons related to the modalities envisaged by the working group:</w:t>
        <w:br/>
        <w:t>- The representative of Société Générale "questions whether it is appropriate to link the implementation of the EIC and (...) the establishment of a fixed commission per check" and "wonders whether this commission should not be paid by the drawee bank to the presenting bank";</w:t>
        <w:br/>
        <w:t>26</w:t>
      </w:r>
    </w:p>
    <w:p>
      <w:r>
        <w:t>- The representative of Crédit du Nord "emphasizes that the equivalences between the fixed commission paid and the gain in collection time, even if they are true at the overall level, are no longer true for each institution depending on the average amounts of the checks it presents and receives";</w:t>
        <w:br/>
        <w:t>- The representative of Paribas states that he "is not in favor of a fixed commission for which he does not see a clear economic justification";</w:t>
        <w:br/>
        <w:t>- The representative of Crédit Lyonnais "finds the arguments in favor of the coherence of payment methods appealing but is not sure that this is the right time to profoundly change the interbank conditions of the check" and "questions the economic justification of such a commission";</w:t>
        <w:br/>
        <w:t>- The representative of Banques Populaires indicates that he "does not know if it is appropriate for the interbank conditions of the EIC to maintain the existing interbank balances with paper exchanges" and that he "considers that the fixed commission approach does not allow for such maintenance due to the different average amounts of checks from different institutions";</w:t>
        <w:br/>
        <w:t>- The representative of CIC states that he is "against fixed commissions paid by the presenting bank to the drawee bank".</w:t>
      </w:r>
    </w:p>
    <w:p>
      <w:r>
        <w:t>101. The Banque de France is also opposed to the creation of an interbank commission but is willing to accept a compromise to reach an agreement on the EIC project. Its representative indicates during the meeting on July 1, 1999, that the Banque de France "considers that a fixed commission is not desirable but that a compromise could be either to reduce the amount of 0.50 F envisaged or to shorten the duration of this commission". Furthermore, he states that a "D+2 delay between exchange and interbank settlement would, in his opinion, be difficult to accept".</w:t>
      </w:r>
    </w:p>
    <w:p>
      <w:r>
        <w:t>102. Other banks support the principle of creating an interbank commission as envisaged by the working group:</w:t>
        <w:br/>
        <w:t>- The representative of Caisses d’Epargne indicates that they "are in favor of the first solution presented by the working group based on a HAJE at 6 p.m., a settlement at D+1, and a fixed commission of 0.50 F paid by the presenting bank to the drawee bank";</w:t>
        <w:br/>
        <w:t>- The representative of Crédit Agricole also indicates support for this first solution;</w:t>
        <w:br/>
        <w:t>- The representative of La Poste also supports this solution and indicates that failing this, "maintaining balances by preserving the current average collection time could be considered";</w:t>
        <w:br/>
        <w:t>- The representative of Crédit Mutuel "is in favor of settlement at D+1 and would be open to the Banque de France's suggestion to moderate the amount of the commission";</w:t>
        <w:br/>
        <w:t>- The representative of BNP states that he is "strongly in favor of the EIC and the fixed commission paid by the presenting bank, although it is itself much more presenting than drawee" and that the bank "places significant emphasis in its analysis on the coherence of payment methods as a whole".</w:t>
      </w:r>
    </w:p>
    <w:p>
      <w:r>
        <w:t>103. Finally, the representative of CCF believes that dematerialization will lead to profound changes in the check sector, which should be "awaited before reconsidering the question of reducing collection times and a possible fixed commission".</w:t>
      </w:r>
    </w:p>
    <w:p>
      <w:r>
        <w:rPr>
          <w:b/>
        </w:rPr>
        <w:t>[Pages 28–30]</w:t>
      </w:r>
    </w:p>
    <w:p>
      <w:r>
        <w:t>The processing of related operations</w:t>
      </w:r>
    </w:p>
    <w:p>
      <w:r>
        <w:t>104. Related operations cover the routing of circulating vouchers, rejections, the establishment of rejection notices or certificates of non-payment, requests and provision of information, requests and provision of reproductions of vouchers, cancellations of wrongly compensated operations (AOCT) with their possible rejections, archiving of vouchers or their reproductions.</w:t>
      </w:r>
    </w:p>
    <w:p>
      <w:r>
        <w:t>105. According to the report of June 22, 1999: "Whenever the number of operations of a category is at the discretion of one institution and the processing burden falls on another, a fee must be provided that covers at least the cost of the requested operation to encourage limiting to the strict necessary operations that represent an administrative burden. Furthermore, the EIC results in functions that were previously performed by one banker being performed by another. This is the case for archiving and the establishment of rejection notices or certificates of non-payment."</w:t>
      </w:r>
    </w:p>
    <w:p>
      <w:r>
        <w:t>106. The report considers two solutions: "to regard this as part of the balance that each institution must make of the advantages and disadvantages brought by the EIC, to consider that these identified transfers of burden should give rise to specific remuneration."</w:t>
      </w:r>
    </w:p>
    <w:p>
      <w:r>
        <w:t>107. The creation of eight interbank commissions is proposed by the restricted working group of the CIR in the context of the report on related operations of the Image Check exchange dated December 28, 1999 (reference 1429 et seq.). The proposed amounts correspond to those that will ultimately be retained by the CIR during its meeting on February 3, 2000.</w:t>
      </w:r>
    </w:p>
    <w:p>
      <w:r>
        <w:t>c) The projected assessment of the transition to the EIC carried out by Crédit Agricole, Crédit Mutuel, and CIC</w:t>
      </w:r>
    </w:p>
    <w:p>
      <w:r>
        <w:t>108. Forecast assessments of the transition to the EIC were conducted internally by Crédit Agricole, Crédit Mutuel, and CIC at the time of the negotiations that took place within the CIR.</w:t>
      </w:r>
    </w:p>
    <w:p>
      <w:r>
        <w:t>Crédit Agricole</w:t>
      </w:r>
    </w:p>
    <w:p>
      <w:r>
        <w:t>109. The internal assessment of Crédit Agricole stems from a document from the management committee of CEDICAM dated December 8, 1999, and addresses both the consequences related to interbank conditions (cash transfers and administrative gains) and the potential consequences that the EIC could have on the bank's clientele (references 1519 et seq.).</w:t>
      </w:r>
    </w:p>
    <w:p>
      <w:r>
        <w:t>110. The bank anticipates a net cash loss related to the acceleration of interbank settlement of 50 million francs in the case of a HAJE scheduled at the end of the day, and administrative gains of 155 million francs, resulting in a net gain of 105 million francs. The document concludes: "the consequences of the organization of check images under interbank conditions remain measured and are covered by the gains that can be expected from the processing" (reference 1523).</w:t>
      </w:r>
    </w:p>
    <w:p>
      <w:r>
        <w:t>111. The document also anticipates a negative impact of the EIC on the conditions offered to clients, assuming the total disappearance of the practice of value dates. The bank estimates that such a disappearance would result in a loss of 150 million francs for the presenter and 250 million francs for the drawee in the case of a HAJE set at the end of the day.</w:t>
      </w:r>
    </w:p>
    <w:p>
      <w:r>
        <w:t>112. Regarding the interbank commission considered in response to the modification of cash balances, it is specified that "this practice assumes (...) the possibility of passing on all or part of this commission to the presenter and thus charging them for their deposits based on the number of checks presented" (reference 1524).</w:t>
      </w:r>
    </w:p>
    <w:p>
      <w:r>
        <w:t>Crédit Mutuel</w:t>
      </w:r>
    </w:p>
    <w:p>
      <w:r>
        <w:t>113. Crédit Mutuel conducted an estimate on September 27, 1999, of the consequences of the transition to the EIC, assuming an acceleration of the check exchange period (gap between DA and DRI) of 1.6 business days (references 2520 and 2521).</w:t>
      </w:r>
    </w:p>
    <w:p>
      <w:r>
        <w:t>114. Crédit Mutuel estimates that the transition to the EIC will result, excluding a compensatory mechanism, in a net cash loss of 23.8 million francs and administrative gains of 42.1 million francs, resulting in a net gain of 18.3 million francs (2.8 million euros). Crédit Mutuel believes that an interbank commission of 0.34 francs would allow it to maintain the cash balances prior to the transition to the EIC, not taking into account the expected administrative gains from the system.</w:t>
      </w:r>
    </w:p>
    <w:p>
      <w:r>
        <w:t>CIC</w:t>
      </w:r>
    </w:p>
    <w:p>
      <w:r>
        <w:t>115. An assessment of the consequences of the transition to the EIC was carried out by Crédit Mutuel on behalf of its subsidiary CIC (reference 1867).</w:t>
      </w:r>
    </w:p>
    <w:p>
      <w:r>
        <w:t>116. This document estimates the annual amount of administrative gains from the new system at 27 million francs. The assessment of the transition to the EIC with the creation of an interbank commission is made under various hypotheses:</w:t>
        <w:br/>
        <w:t>- a commission of €0.025, or 0.1639 francs, would result in a total net gain of 4.87 million francs;</w:t>
        <w:br/>
        <w:t>- a commission of €0.030, or 0.1967 francs, would result in a total net gain of 4.5 million francs;</w:t>
        <w:br/>
        <w:t>- a commission of €0.035, or 0.2295 francs, would result in a total net loss of 3.98 million francs;</w:t>
        <w:br/>
        <w:t>- a commission of €0.040, or 0.2632 francs, would result in a total net loss of 8.53 million francs.</w:t>
      </w:r>
    </w:p>
    <w:p>
      <w:r>
        <w:t>d) The agreement on interbank conditions for the implementation of the EIC</w:t>
      </w:r>
    </w:p>
    <w:p>
      <w:r>
        <w:t>117. An agreement on the interbank conditions for the transition to the EIC was formalized during the CIR meeting on February 3, 2000 (see the minutes of this meeting, reference 941 et seq.).</w:t>
      </w:r>
    </w:p>
    <w:p>
      <w:r>
        <w:t>The interbank conditions retained</w:t>
      </w:r>
    </w:p>
    <w:p>
      <w:r>
        <w:t>118. The following interbank modalities are established:</w:t>
        <w:br/>
        <w:t>- gap between exchange date (DE) and interbank settlement date (DRI) of 1 day for all checks;</w:t>
        <w:br/>
        <w:t>- HAJE at 6 p.m.;</w:t>
      </w:r>
    </w:p>
    <w:p>
      <w:r>
        <w:t>- creation of the image-check exchange commission (CEIC), an interbank commission paid by the presenting bank to the drawee bank, with a maximum amount of 4.3 euro cents;</w:t>
        <w:br/>
        <w:t>- creation of eight interbank commissions paid in connection with related operations (commissions for related services - CSC).</w:t>
      </w:r>
    </w:p>
    <w:p>
      <w:r>
        <w:t>Reference 947</w:t>
      </w:r>
    </w:p>
    <w:p>
      <w:r>
        <w:t>Duration of application</w:t>
      </w:r>
    </w:p>
    <w:p>
      <w:r>
        <w:t>119. It follows from the minutes of the CIR meeting of February 3, 2000, that the interbank conditions for the transition to the EIC are set for a duration of three years: "Mr. S. [president of the CIR] specifies that the conditions proposed to the Commission will be applicable from January 1, 2002, valid for 3 years, that is until December 31, 2004, and proposes a meeting in the fall of 2004 to set the conditions that will apply from January 1, 2005, based on an assessment of the past 3 years and the observed evolution of balances compared to current balances. To Mr. S. [representative of La Poste], who wonders about the necessity of a review of the conditions in 2004, Mr. S. replies that it is customary to review the conditions after 3 years: it is a general rule of interbanking; these conditions cannot be set for eternity. Furthermore, this revision is part of the necessary conditions for obtaining consensus."</w:t>
      </w:r>
    </w:p>
    <w:p>
      <w:r>
        <w:rPr>
          <w:b/>
        </w:rPr>
        <w:t>[Pages 31–33]</w:t>
      </w:r>
    </w:p>
    <w:p>
      <w:r>
        <w:t>120. Furthermore, the representative of Crédit Lyonnais emphasizes that the commissions on circulating checks and the commissions for fax requests seem underestimated to him. At the end of the discussions, the CIR agrees "to set, for 3 years from 1/1/2002, the exchange conditions of the EIC" as proposed by the working group, "it being specified that the commissions related to fax requests will be re-examined based on the statistics of the first year, as soon as they are known. They would be revised if they deviated from the working hypotheses retained at this stage" (cote 943).</w:t>
      </w:r>
    </w:p>
    <w:p>
      <w:r>
        <w:t>121. It is established that the parties to the agreement did not meet to reassess, as they had planned, the principle and level of interbank commissions before 2007.</w:t>
      </w:r>
    </w:p>
    <w:p>
      <w:r>
        <w:t>e) Regulation No. 2001-04 of the CRBF and the professional agreement on the Exchange of Image-Checks</w:t>
      </w:r>
    </w:p>
    <w:p>
      <w:r>
        <w:t>122. Regulation No. 2001-04 of the Banking and Financial Regulation Committee (CRBF) dated October 29, 2001, concerning the clearing of checks, approved by order of December 17, 2001 (JO December 20, 2001), frames the modalities of dematerialized exchange within the new EIC system.</w:t>
      </w:r>
    </w:p>
    <w:p>
      <w:r>
        <w:t>123. It provides for the signing of a professional agreement to define, in particular, the modalities for carrying out the clearing operations of checks in dematerialized form (Article 2). This agreement was concluded on July 9, 2003, between the French Association of Credit Institutions and Investment Firms (AFECEI), the Bank of France, the Caisse des Dépôts et Consignations, the minister in charge of public finances, the Issuing Institute of Overseas Departments, and La Poste (cotes 948 et seq.).</w:t>
      </w:r>
    </w:p>
    <w:p>
      <w:r>
        <w:t>124. According to Article 4.5 of this agreement: "The presenting institution that has created the image-check is required to ensure the archiving of the vouchers defined as non-circulating. This function is exercised on behalf of the drawee institution without the possibility of substitution."</w:t>
      </w:r>
    </w:p>
    <w:p>
      <w:r>
        <w:t>125. According to Article 4.6: "(...) the drawee institution has the right to request and obtain from the presenting institution the original or a copy of the check, either for its own account, for control purposes, or to respond to a request from a client or an authorized third party. (...) Whether or not in an interbank context, the transmission of the voucher or its copy may give rise to reimbursement by the drawee institution of the administrative charge incurred on this occasion by the presenting institution, excluding any other payment. The maximum amount of this reimbursement is set under the following conditions:</w:t>
        <w:br/>
        <w:t>- as part of its missions, as described in Article L. 511-29 of the Monetary and Financial Code, the AFECEI organizes, at least every 3 years, a consultation on this subject, (...); for the first time, this consultation will be initiated in the quarter following the adoption of this agreement;</w:t>
        <w:br/>
        <w:t>- the evaluation of the reimbursement is carried out based on the estimated costs by a sample of contracting institutions considered representative by the signatories.</w:t>
        <w:br/>
        <w:t>The prior circulation of part of the vouchers presented for payment in the form of image-checks takes place under conditions of timing and reimbursement meeting the same requirements as those described above for the posterior communication."</w:t>
      </w:r>
    </w:p>
    <w:p>
      <w:r>
        <w:t>3. THE AMOUNT OF COLLECTED INTERBANK COMMISSIONS</w:t>
        <w:br/>
        <w:t>Cote 6014</w:t>
      </w:r>
    </w:p>
    <w:p>
      <w:r>
        <w:t>4. THE REVISION OF INTERBANK CONDITIONS OF THE EIC IN 2007</w:t>
      </w:r>
    </w:p>
    <w:p>
      <w:r>
        <w:t>126. The revision of the interbank conditions of the EIC was carried out during the year 2007, while the investigation of the present case before the services of the Competition Council was ongoing.</w:t>
      </w:r>
    </w:p>
    <w:p>
      <w:r>
        <w:t>127. On July 20, 2007, the governor of the Bank of France sent a letter to the president of the French Banking Federation regarding the temporary commissions pricing the exchanges of image-checks, indicating that he "considers that these commissions are no longer justified and that their billing must therefore be terminated as soon as possible" (cote 3698).</w:t>
      </w:r>
    </w:p>
    <w:p>
      <w:r>
        <w:t>128. The CEIC is abolished retroactively effective July 1, 2007, by a decision dated October 4, 2007, signed by the Bank of France, the Federal Bank of Popular Banks, BNP – Paribas, the National Savings Bank, the National Confederation of Credit Mutuel, Crédit Agricole SA, HSBC France, La Banque Postale, and Société Générale, whereby: "In response to the letter from the Bank of France dated July 20, 2007, received by the GSIT and communicated to the participating members, the duly authorized representatives of the institutions below that participated in the Inter-Network Commission of February 3, 2000, and that operate in the exchange of image-checks, agree that the [CEIC] is abolished as of July 1, 2007" (cote 4098).</w:t>
      </w:r>
    </w:p>
    <w:p>
      <w:r>
        <w:t>129. Furthermore, the institutions that participated in the CIR created the same day a working group to ensure, according to the modalities provided by the professional EIC agreement of July 9, 2003, the examination of the CSC established during the transition to the EIC, except for commissions for the cancellation of incorrectly compensated operations (AOCT). To this end, a cost survey is conducted among the main banking institutions, the processing of which is entrusted to the consulting firm Latham &amp; Watkins to ensure the confidentiality of the transmitted data (cote 4109).</w:t>
      </w:r>
    </w:p>
    <w:p>
      <w:r>
        <w:t>130. During the plenary meeting of the working group on November 27, 2007, the participants decided to revise the CSC according to the following modalities:</w:t>
        <w:br/>
        <w:t>- the amount of the commission on circulating image-checks is reduced from €0.15 to €0.12;</w:t>
      </w:r>
    </w:p>
    <w:p>
      <w:r>
        <w:t>- the amount of the commission on rejected image-checks is maintained at €3;</w:t>
        <w:br/>
        <w:t>- the commissions for fax requests of €2.7 for one side and €3 for double-sided are combined into a single commission of €1, and the amount of the commission for fax requests with original is reduced from €7 to €4.12 (see the minutes of the meeting, cote 4102).</w:t>
      </w:r>
    </w:p>
    <w:p>
      <w:r>
        <w:t>131. The participants agree on a periodic revision of the CSC according to the following modalities (cote 4102):</w:t>
      </w:r>
    </w:p>
    <w:p>
      <w:r>
        <w:t>D. NOTIFIED GRIEVANCES</w:t>
      </w:r>
    </w:p>
    <w:p>
      <w:r>
        <w:t>132. Based on the preceding findings, by letter dated March 14, 2008, the general rapporteur notified the National Confederation of Credit Mutuel, Crédit Agricole SA, the Bank of France, BNP-Paribas, Société Générale, the Federal Bank of Popular Banks, La Banque Postale, the National Savings Bank, LCL (Le Crédit Lyonnais), HSBC, Crédit Industriel et Commercial - CIC, and Crédit du Nord of the following grievances:</w:t>
        <w:br/>
        <w:t>"First grievance for having agreed within the framework of the Inter-Network Commission to create a commission for image-check exchange and to jointly set the amount at €0.043 per non-circulating check";</w:t>
        <w:br/>
        <w:t>"Second grievance for having agreed within the framework of the Inter-Network Commission to create interbank commissions representative of services rendered and to jointly set the amount, under the following conditions:</w:t>
        <w:br/>
        <w:t>- a commission of €0.15 for circulating checks;</w:t>
        <w:br/>
        <w:t>- a commission of €3 for rejected image checks;</w:t>
        <w:br/>
        <w:t>- a commission of €0.61 for cancellation of image checks;</w:t>
        <w:br/>
        <w:t>- a commission of €0.61 for cancellation of rejected image checks;</w:t>
        <w:br/>
        <w:t>- a commission of €2.7 for fax request (one side);</w:t>
        <w:br/>
        <w:t>- a commission of €3 for fax request (double-sided);</w:t>
        <w:br/>
        <w:t>- a commission of €7 for fax request (one side + original);</w:t>
        <w:br/>
        <w:t>- a commission for archiving deducted from the commission for non-circulating checks (amount unknown at this stage but should be €0.003)."</w:t>
      </w:r>
    </w:p>
    <w:p>
      <w:r>
        <w:rPr>
          <w:b/>
        </w:rPr>
        <w:t>[Pages 34–36]</w:t>
      </w:r>
    </w:p>
    <w:p>
      <w:r>
        <w:t xml:space="preserve">II. Discussion  </w:t>
        <w:br/>
        <w:t xml:space="preserve">A. ON THE PROCEDURE  </w:t>
        <w:br/>
        <w:t xml:space="preserve">1. ON THE DURATION OF THE PROCEDURE  </w:t>
        <w:br/>
        <w:t xml:space="preserve">a) Arguments of the parties  </w:t>
        <w:br/>
        <w:t xml:space="preserve">133. Société Générale, Crédit Mutuel, CIC, CE Participations, Banque de France, Banques Populaires, BNP, and Paribas complain about the excessive duration of the procedure.  </w:t>
        <w:br/>
        <w:t xml:space="preserve">134. The parties argue that the procedure as a whole lasted six years, from the initiation of the proceedings to the hearing before the Competition Authority on November 24, 2009. Furthermore, six years elapsed between the date of the alleged facts, which date back to 1999, and the date when the banks concerned became aware that they would have to respond to these facts in 2005. In comparison, the parties believe they were given very short deadlines to respond to requests for information, the notification of charges, and the two reports prepared by the investigative services.  </w:t>
        <w:br/>
        <w:t xml:space="preserve">135. These delays, which would be exclusively attributable to the investigation and instruction services, deprived the parties of the opportunity to defend themselves effectively, given the changes in personnel and the difficulty in collecting old archived documents. The difficulties cited mainly concern the search for exculpatory elements in response to the price survey conducted by the rapporteurs, of which the parties would only have been aware at the time of the notification of charges in 2008, without these data, initially classified as confidential annexes, being communicated to them before 2009.  </w:t>
        <w:br/>
        <w:t xml:space="preserve">b) Applicable law  </w:t>
        <w:br/>
        <w:t xml:space="preserve">136. According to established case law, the reasonable time prescribed by Article 6 § 1 of the Convention for the Protection of Human Rights and Fundamental Freedoms (hereinafter "ECHR") must be assessed in light of the scope and complexity of the procedure, this circumstance being assessed concretely (see, for example, the judgments of the Paris Court of Appeal of January 29, 2008, Le Goff Confort SAS, of April 8, 2008, Glaxosmithkline, of May 6, 2008, Lafarge Ciments, of November 24, 2009, Chevron Products, and of June 24, 2008, France Travaux).  </w:t>
        <w:br/>
        <w:t xml:space="preserve">137. Community case law is also in this sense, the Court of Justice of the European Communities considering that "the reasonableness of the time is assessed in relation to the circumstances specific to each case and, in particular, the stakes of the dispute for the party concerned, the complexity of the case as well as the behavior of the applicant and that of the competent authorities" (judgment of December 17, 1998, Baustahlgewebe/Commission, C-185/95 P, Rec. p. I-8417, point 29). The Court of Justice specified that "the list of these criteria is not exhaustive and the assessment of the reasonableness of the time does not require a systematic examination of the circumstances of the case in relation to each of them when the duration of the procedure appears justified in light of a single one. (...) Thus, the complexity of the case can be retained to justify a time that is initially too long. (...) Where appropriate, the duration of a procedural stage can be immediately qualified as reasonable when it appears consistent with the average processing time of a case of the type in question." (judgment of October 15, 2002, Limburgse Vinyl Maatschappij e.a./Commission, C‑238/99 P, C-244/99 P, C-245/99 P, C-247/99 P, C-250/99 P to C-252/99 P and C‑254/99 P, Rec. p. I-8375, points 187 and 188). Finally, the Court of Justice indicated that "the reasonableness of a time cannot be examined by reference to a precise maximum limit, determined in an abstract manner, but must be assessed in each case in light of the circumstances of the case." (same judgment, point 192).  </w:t>
        <w:br/>
        <w:t xml:space="preserve">138. Furthermore, the sanction attached to the violation by the competition authorities of their obligation to rule within a reasonable time is not the annulment of the procedure or its reform but the compensation for the damage resulting from the delay suffered (see the judgments of the Court of Cassation of January 28, 2003, Domoservices, and of March 6, 2007, Demathieu et Bard), provided, however, that the conduct of the procedure has not irreparably deprived the companies concerned of the means to defend themselves (see in particular the judgment of the Paris Court of Appeal, Le Goff Confort SAS, cited above, and the judgment of the CJEU of September 21, 2006, Nederlandse Federatieve Vereniging voor de Groothandel op Elektrotechnisch Gebied (NFVG), C-105/04, Rec. p. I-8725, point 42).  </w:t>
        <w:br/>
        <w:t xml:space="preserve">139. In this regard, the Paris Court of Appeal specifies that "the respect for the rights of the defense, which is of paramount importance in the procedures [followed before the Competition Authority], it is important to avoid that these rights may be irreparably compromised, particularly due to an excessive duration of the investigation phase and that this duration may hinder the establishment of evidence aimed at refuting the existence of behaviors likely to engage the liability of the companies concerned; for this reason, the examination of any hindrance to the exercise of the rights of the defense should not be limited to the very phase in which these rights have their full effect, namely the second phase of the administrative procedure; the assessment of the source of any weakening of the effectiveness of the rights of the defense must extend to the entire procedure by referring to its total duration, including the investigation" (see the judgments of November 10, 2009, Beauté Prestige International SA, and March 23, 2010, Gaz et électricité de Grenoble, reproducing the reasons of the judgments of the CJEU of November 9, 1983, Michelin/Commission, 322/81, Rec. p. 3461, point 7, and NFVG, cited above, point 50).  </w:t>
        <w:br/>
        <w:t xml:space="preserve">140. National and community courts have ruled that it is up to the companies concerned to establish that, at the time of the communication of the charges, their ability to refute them was limited due to the excessive duration of the prior investigation procedure (cf. Paris Court of Appeal, judgments cited in point 140 and CJEU, NFVG, point 56).  </w:t>
        <w:br/>
        <w:t xml:space="preserve">141. To assess whether the principle of reasonable time has been respected in this case, it is therefore necessary to first examine whether the duration of the procedure was excessive given the circumstances of the case, and, if so, to examine secondly whether the excessive duration of the procedure deprived the banks of the opportunity to defend themselves effectively against the charges brought against them.  </w:t>
        <w:br/>
        <w:t xml:space="preserve">c) Assessment in this case  </w:t>
        <w:br/>
        <w:t xml:space="preserve">Regarding the duration of the procedure  </w:t>
        <w:br/>
        <w:t xml:space="preserve">142. The case concerns all interbank commissions collected for payments made by checks on national territory. The charges were notified to twelve credit institutions, and the file contains more than 40,000 documents. The DGCCRF, seized for investigation by the general rapporteur of the Competition Council in 2004, conducted multiple investigations with banking institutions and with client companies that issued checks. Following the submission of the investigation report in 2005, the Council's instruction services, as recalled by the report of August 14, 2008 (§ 225), conducted more than forty hearings and carried out an unprecedented survey involving seven hundred companies to identify the banking conditions applicable to their check deposit operations for the period covering the years 2000 to 2006 (direct price, flat rate, subcontracting, value dates, movement commission, etc.). Furthermore, the assessment of the practices required in-depth economic studies, particularly for evaluating the exemptibility of the practices in question.  </w:t>
        <w:br/>
        <w:t xml:space="preserve">143. The parties were able to benefit from the deadlines provided for by Article L. 463-2 of the Commercial Code to present their observations. Furthermore, the investigative acts that had the effect of prolonging the adversarial phase of the procedure (appointment of an expert, sending of a supplementary report) were conducted in order to best respect the rights of the parties both for the establishment of the facts and for the implementation of the principle of contradiction. The same applies to decision No. 09-S-04 of December 11, 2009, which allowed the parties to access all the data from the price survey and to submit final written observations.  </w:t>
        <w:br/>
        <w:t xml:space="preserve">144. By way of comparison, the duration of the present procedure is shorter than the average time observed for the processing of similar cases by the European Commission. Thus, the investigation and instruction procedures initiated by the Commission to assess the compliance of multilateral interchange commissions applied to cross-border card payments in the European Economic Area lasted more than ten years in the Visa case (decision of July 24, 2002, COMP 29.373, rendered on referral of March 30, 1992) and more than fifteen years in the MasterCard case (decision of December 19, 2007, COMP 34.579, rendered on referral of March 30, 1992).  </w:t>
        <w:br/>
        <w:t xml:space="preserve">145. The duration of the present procedure, including the investigation, is therefore not excessive given the nature, scope, and complexity of the case.  </w:t>
        <w:br/>
        <w:t xml:space="preserve">Regarding the parties' ability to defend against the notified charges  </w:t>
        <w:br/>
        <w:t xml:space="preserve">146. In any event, the ability of the companies concerned to defend themselves against the facts alleged against them was not affected by the duration of the procedure.  </w:t>
        <w:br/>
        <w:t xml:space="preserve">147. Indeed, prudence required the banks to retain any evidence capable of establishing the legality of their practices until the end of the limitation period set by Article L. 462-7 of the Commercial Code, the period having been extended from three years to five years by the ordinance of November 4, 2004, especially since they became aware of the investigation they were subject to while the practices in question had not yet ceased.  </w:t>
        <w:br/>
        <w:t>148. Firstly, it should be noted that the majority of the banks concerned became aware that they would have to respond to the practices in question no later than July 2005 during their formal hearing by the investigators. At that date, the CEIC and the CSC were still applied to all interbank transactions by check, at the level that had been set within the CIR in 2000. The notification of charges, dated March 14, 2008, occurred just a few months after the abolition of the CEIC.</w:t>
      </w:r>
    </w:p>
    <w:p>
      <w:r>
        <w:rPr>
          <w:b/>
        </w:rPr>
        <w:t>[Pages 37–39]</w:t>
      </w:r>
    </w:p>
    <w:p>
      <w:r>
        <w:t>dossier est également applicable dans le cadre de la procédure de notification des griefs.</w:t>
      </w:r>
    </w:p>
    <w:p>
      <w:r>
        <w:t>168. En l’espèce, il convient de rappeler que les griefs notifiés aux parties reposent sur des éléments qui ont été communiqués dans le cadre de la procédure contradictoire. Les parties ont eu la possibilité de prendre connaissance des éléments de preuve sur lesquels le rapporteur s’est fondé pour établir les griefs, y compris les résultats du sondage de prix, qui ont été fournis dans le cadre de la procédure.</w:t>
      </w:r>
    </w:p>
    <w:p>
      <w:r>
        <w:t>169. Par conséquent, la communication tardive des pièces du sondage de prix ne saurait être considérée comme une violation des droits de la défense, dans la mesure où les parties ont eu accès à l’ensemble des éléments nécessaires pour contester les griefs qui leur étaient notifiés.</w:t>
      </w:r>
    </w:p>
    <w:p>
      <w:r>
        <w:t>170. Il résulte de ce qui précède que le moyen tiré de l’absence de communication des pièces du sondage de prix doit être écarté.</w:t>
      </w:r>
    </w:p>
    <w:p>
      <w:r>
        <w:rPr>
          <w:b/>
        </w:rPr>
        <w:t>[Pages 40–42]</w:t>
      </w:r>
    </w:p>
    <w:p>
      <w:r>
        <w:t>the exercise of the rights of defense must all the more so apply to sanction procedures followed before the Competition Authority.</w:t>
      </w:r>
    </w:p>
    <w:p>
      <w:r>
        <w:t>168. National case law aligns with community case law which specifies, regarding the right of access to the file in competition cases: "a general argument is not sufficient to establish the reality of a violation of the rights of defense, which must be examined in light of the specific circumstances of each case" (see in particular the judgment of the Court of First Instance of the European Communities of September 30, 2003, Atlantic Container Lines, T-191/98, Rec. 2003, p. II-3275, point 354). The community judge has not defined a mandatory deadline regarding access to the file, provided that the parties concerned are given the opportunity during the procedure to "be aware of the evidence contained in the Commission's file, so that they can effectively comment on the conclusions reached by it in its statement of objections, based on this evidence" (see, in this regard, the judgment Baustahlgewebe/Commission, cited above, point 89).</w:t>
      </w:r>
    </w:p>
    <w:p>
      <w:r>
        <w:t>169. The European Court of Human Rights has specifically ruled on the case of a late access of the accused to the evidence in the indictment in the context of a criminal trial. It thus held that "the modalities of application of Article 6 §§ 1 and 3 c) during the investigation depend on the particularities of the procedure and the circumstances of the case," and that no violation of the principle of equality of arms can be noted when the evidence has been submitted to the accused before the debates before the trial formation and he has had the necessary time to formulate observations regarding it, notably through his lawyer (see, in this sense, the judgment of September 21, 1993, Kremzow v. Austria, §§ 45 et seq., and, conversely, the judgment of May 12, 2005, Öcalan v. Turkey, §§ 138 et seq.). The requirement for a concrete assessment of the existence of a violation of the rights of defense, developed in the field of classical criminal law, applies all the more so to the examination of sanction procedures imposed by administrative authorities.</w:t>
      </w:r>
    </w:p>
    <w:p>
      <w:r>
        <w:t>Assessment in this case</w:t>
      </w:r>
    </w:p>
    <w:p>
      <w:r>
        <w:t>170. In this case, it is undeniable that the notification of objections analyzed the results of the price survey conducted by the investigation services (§§ 181 and 209 to 217 of the notification of objections), even though the data from this survey were classified in a confidential annex and the parties therefore did not have immediate access to it. This analysis is carried out in support of the development devoted to the potentially exemptible nature of the CEIC (§§ 161 et seq. of the notification of objections).</w:t>
      </w:r>
    </w:p>
    <w:p>
      <w:r>
        <w:t>171. However, this circumstance cannot have the effect of vitiating the procedure followed since it did not, in practice, infringe the rights of defense, as the data in question were declassified at later stages of the procedure, and were thus made available for consultation and subjected to the contradiction of the parties involved.</w:t>
      </w:r>
    </w:p>
    <w:p>
      <w:r>
        <w:t>172. First of all, it should be noted that the survey data are the prices charged by banks to their corporate clients during the period from 2000 to 2006. The list of "104 conditions" represents, for its part, a sample of responses to the price survey, deemed exploitable by the rapporteur at the beginning of the investigation, to observe the price evolution in the check collection market. This list was subsequently modified to take into account the information provided by the parties in the context of the adversarial debate and the results of the expertise.</w:t>
      </w:r>
    </w:p>
    <w:p>
      <w:r>
        <w:t>173. The banks were therefore necessarily aware of the data concerning them in the survey, regarding prices and pricing conditions that they had themselves negotiated. They were even more aware of this since, from the notification of objections, the rapporteur had sent them the list of companies surveyed as well as a copy of the questionnaire sent to them. The banks were thus able to identify their clients in this list and, consequently, determine what the data in question were. Furthermore, by decision No. 08-DEC-12 of October 2, 2008, the president of the Competition Council decided to send each banking institution a copy of the responses to the questionnaire concerning it, thus allowing the parties to verify the accuracy of the data contained therein and to present their observations on this subject.</w:t>
      </w:r>
    </w:p>
    <w:p>
      <w:r>
        <w:t>174. Regarding the data of competing establishments, access to which was requested by several parties in a form allowing the identification of clients and concerned banks to be avoided, the general rapporteur designated, by decision dated December 16, 2008, an expert, who had access to all the documents, and was tasked with drawing up anonymous tables listing the survey data, which could be consulted by the parties, in order to reconcile access to the file with the protection of business secrets. Moreover, the list of "104 conditions" was communicated to the parties on July 15, 2009.</w:t>
      </w:r>
    </w:p>
    <w:p>
      <w:r>
        <w:t>175. Full access to the data concerning competing banks was then granted according to modalities arranged by a decision of the president of the Competition Council No. 09-DEC-01 of February 17, 2009. According to the provisions of this decision: "Article 1. - The numerical data from the price survey from 2001 to 2006 are made accessible to the parties through a table prepared by the expert designated in this case. The names of the companies that responded to the survey are not mentioned in this table. Article 2. - The counsel representing the parties may consult in the premises of the Competition Council the entirety of the data directly relevant to the price survey, according to the modalities defined in paragraph 8 of this decision." This arranged consultation took place twice, in April and July 2009.</w:t>
      </w:r>
    </w:p>
    <w:p>
      <w:r>
        <w:t>176. In order to allow the parties to access the documents necessary for the exercise of their rights of defense, the two-month deadline they had to submit their observations on the report of August 14, 2008, was successively extended to two months from the receipt of the declassified documents under the aforementioned decision No. 08-DEC-12, and then to two months from the date of filing in the file of the expert's report (see the letter from the general rapporteur dated October 15, 2008, references 18 357 to 18 382).</w:t>
      </w:r>
    </w:p>
    <w:p>
      <w:r>
        <w:t>177. The counsel for the concerned parties, lawyers and economists, thus accessed the price survey data before the establishment of the supplementary report of August 19, 2009, which allowed them to present useful arguments for their defense in their observations in response to this report.</w:t>
      </w:r>
    </w:p>
    <w:p>
      <w:r>
        <w:t>178. Finally, by decision No. 09-S-04 of December 11, 2009, the Competition Authority referred the file for further investigation to allow the parties, on the one hand, to access all the data covered by decisions No. 08-DSA-39 and 09-DEC-01 and, on the other hand, to submit final written observations.</w:t>
      </w:r>
    </w:p>
    <w:p>
      <w:r>
        <w:t>179. It follows from the above that the banks were able to access the price survey data, the first time through their counsel, and the second time without any restriction, and thus benefited twice from the two-month period provided for by Article L. 463-2 of the Commercial Code to assert their observations.</w:t>
      </w:r>
    </w:p>
    <w:p>
      <w:r>
        <w:t>180. Furthermore, the parties do not establish how the late communication of the price survey data would have deprived them of the opportunity to request the benefit of the procedure for non-contestation of objections, whereas they were aware of the data from this survey concerning them personally and had all the useful assessment elements relating to the nature of the practices they were accused of, their legal qualification, and the conditions of attribution from the stage of the notification of objections. In the context of this procedure, the general rapporteur proposes a percentage reduction of the sanction incurred, without prejudice to the debate, open to the parties, concerning the importance of the damage to the economy. The investigation services were not required to carry out a quantified assessment of the damage to the economy at the stage of the notification of objections solely to allow the parties to assess the amount of the sanction incurred, and consequently, the opportunity to request the benefit of the procedure for non-contestation of objections.</w:t>
      </w:r>
    </w:p>
    <w:p>
      <w:r>
        <w:t>181. In any case, it follows from the provisions of III of Article L. 464-2 of the Commercial Code that the initiation of the procedure for non-contestation of objections falls within the discretion of the general rapporteur, subject to the Authority's control of manifest error (see, in this regard, the decision of the Competition Council No. 06-D-09 of April 11, 2006, concerning practices implemented in the door manufacturing sector). The parties therefore had no right to the implementation of this procedure.</w:t>
      </w:r>
    </w:p>
    <w:p>
      <w:r>
        <w:t>182. It follows from all of the above that, in the specific circumstances recalled above, the argument based on a violation of the principle of adversarial proceedings and the principle of equality of arms is factually unfounded and can only be dismissed.</w:t>
      </w:r>
    </w:p>
    <w:p>
      <w:r>
        <w:t>Regarding access to other documents in the file</w:t>
      </w:r>
    </w:p>
    <w:p>
      <w:r>
        <w:t>183. First of all, the Banques Populaires and Société Générale argue that the parties did not have access to the entirety of the file at the time of the notification of objections. The arranged consultation in April 2009 would have shown the existence of investigative acts that had not been submitted to the file.</w:t>
      </w:r>
    </w:p>
    <w:p>
      <w:r>
        <w:t>184. However, the absence of certain documents in the file is not established at all, the allegations of the Banques Populaires being based solely on the mention, in an email, that a company responds "to the questions still pending." In any case, it is not demonstrated at all that the documents invoked as well as the emails submitted to the file in April 2009 would have served as the basis for the notified objections.</w:t>
      </w:r>
    </w:p>
    <w:p>
      <w:r>
        <w:t>185. Secondly, the Banque de France alleges that certain emails between the Treasury, its main client, and the rapporteurs are still missing from the file to this day. However, it provides no evidence to support these allegations and does not demonstrate, in any case, that these documents would have served as a basis for the rapporteur to establish the objections.</w:t>
      </w:r>
    </w:p>
    <w:p>
      <w:r>
        <w:t>186. Thirdly, the Banque de France, LCL, Crédit Agricole, and CE Participations argue that certain documents referenced in the annex to the supplementary report of August 19, 2009, were not included in the CD-Rom containing said annexes. CE Participations adds that the report of August 14, 2008, omitted, in some cases, to indicate the references of the documents on which the rapporteurs relied.</w:t>
      </w:r>
    </w:p>
    <w:p>
      <w:r>
        <w:t>187. In this regard, it appears from a letter from the general rapporteur dated September 28, 2009 (references 33637 et seq.) that the majority of the concerned documents had already been submitted for consultation to the parties, either through the individual communication of data relating to...</w:t>
      </w:r>
    </w:p>
    <w:p>
      <w:r>
        <w:rPr>
          <w:b/>
        </w:rPr>
        <w:t>[Pages 43–45]</w:t>
      </w:r>
    </w:p>
    <w:p>
      <w:r>
        <w:t>the avis de la Commission bancaire dans sa notification de griefs », il n’en demeure pas moins que les rapporteurs ont la liberté d’apprécier les éléments du dossier et de fonder leur analyse sur les preuves qu’ils jugent pertinentes.</w:t>
      </w:r>
    </w:p>
    <w:p>
      <w:r>
        <w:t>205. En conséquence, les arguments relatifs à la partialité des rapporteurs, ainsi que ceux concernant la présentation des éléments de preuve, ne sauraient être retenus. Les parties ont eu l’opportunité de faire valoir leurs observations et de contester les éléments du rapport, ce qui garantit le respect du principe du contradictoire et l’impartialité de l’instruction.</w:t>
      </w:r>
    </w:p>
    <w:p>
      <w:r>
        <w:rPr>
          <w:b/>
        </w:rPr>
        <w:t>[Pages 46–48]</w:t>
      </w:r>
    </w:p>
    <w:p>
      <w:r>
        <w:t>the reasons why it departs from the opinion of the Prudential Control Authority", the obligation of reasoning resulting from these provisions applies to the Authority and not to the investigation services.</w:t>
      </w:r>
    </w:p>
    <w:p>
      <w:r>
        <w:t>Regarding the burden of proof</w:t>
      </w:r>
    </w:p>
    <w:p>
      <w:r>
        <w:t>205. Société Générale and the Banque de France argue that the rapporteurs have regularly made simple assertions, which has had the effect of shifting the burden of proof onto the parties involved. They particularly contest the evidential value of the statements made by the surveyed companies compared to the evidence provided by the parties (contracts, invoices, or debit notices), and believe that the request from the investigation services to provide any elements that could rectify the data provided by the surveyed companies has placed the burden of proof on the parties involved.</w:t>
      </w:r>
    </w:p>
    <w:p>
      <w:r>
        <w:t>206. However, the elements retained by the investigation and instruction services do not constitute mere presumptions. When collected by the investigation or instruction services in minutes, the statements "are presumed true until proven otherwise", in accordance with the provisions of Article L. 450-2 of the Commercial Code. In this case, the elements contained in the statements of the companies interviewed by the rapporteurs could easily be verified by the parties, as they pertain to the prices granted by banks to their corporate clients under the contracts concluded with them. Furthermore, copies of numerous invoices from the depositors, as well as proposals and pricing agreements between banks and their clients, are produced as an annex to the administrative investigation report (references 315 et seq.). The notification of grievances is based on the minutes of the meetings organized by the inter-network commission (§91 et seq. of the notification of grievances).</w:t>
      </w:r>
    </w:p>
    <w:p>
      <w:r>
        <w:t>207. Consequently, the request from the rapporteurs and the expert for the parties to provide their observations on the data in question did not have the effect of shifting the burden of proof regarding the anti-competitive nature of the practices, which rests with the Competition Authority, but merely aimed to subject the documents held by the investigation services to contradiction, so that the parties involved could effectively criticize the modes of proof retained against them.</w:t>
      </w:r>
    </w:p>
    <w:p>
      <w:r>
        <w:t>Regarding the evolution of the rapporteurs' analysis during the procedure</w:t>
      </w:r>
    </w:p>
    <w:p>
      <w:r>
        <w:t>208. BNP Paribas, Société Générale, and the Banques Populaires believe that the investigation was conducted in an evolving and contradictory manner, particularly regarding the issue of the cash gains of the depositing party. The method of the rapporteurs would have been modified based on the arguments of the parties. CE Participations argues that the rapporteurs first conducted a quantitative analysis aimed at establishing the existence of a price increase for check deposits during the stage of the supplementary report dated August 19, 2009, using two new methods based on the study of the standard pricing conditions of banks, on the one hand, and on the principles adopted by the European Commission in its decision of December 19, 2007, Mastercard, on the other hand, thus depriving the parties of a double round of contradiction on this point.</w:t>
      </w:r>
    </w:p>
    <w:p>
      <w:r>
        <w:t>209. As recalled in point 160 above, it follows from the contradictory nature of the procedure that the analysis made in the report may evolve compared to that developed in the notification of grievances (see, in this regard, the decision of the Competition Council No. 07-D-23 of July 12, 2007, point 52; see also the judgments of the Paris Court of Appeal cited in point 160 above). The Council thus specified that the provisions of Article R. 463-11 of the Commercial Code "do not in any way hinder the contradictory debate that opens as soon as the grievances are communicated to the parties and continues throughout the procedure, not only on the materiality of the facts but also on their analysis by the investigation services" (decision No. 08-D-12 of May 21, 2008, concerning practices implemented in the plywood production sector, point 118, confirmed on this point by the judgment of the Paris Court of Appeal of September 29, 2009, Ets. A. Mathé). Therefore, the fact that the method used by the rapporteurs may have evolved during the procedure to take into account the arguments put forward by the parties involved cannot have had the effect of infringing the rights of the defense of the latter. Similarly, the implementation of quantitative damage assessment methods at the stage of the supplementary report, which aimed to verify the results derived from the exploitation of the price survey mentioned in the notification of grievances (§§ 209 et seq.), did not infringe the principle of contradiction, as no new grievance was notified to the parties, and they benefited from the two-month period provided for in Article L. 463-2 of the Commercial Code to present their observations on the analyses of the investigation services.</w:t>
      </w:r>
    </w:p>
    <w:p>
      <w:r>
        <w:t>Regarding the sending of a supplementary report</w:t>
      </w:r>
    </w:p>
    <w:p>
      <w:r>
        <w:t>210. According to Société Générale, the investigation services acted outside their competence by deciding to "reopen the investigation" (as indicated in an email from the rapporteur), whereas only the Authority can decide to refer the matter back to investigation, in accordance with Article R. 463-7 of the Commercial Code.</w:t>
      </w:r>
    </w:p>
    <w:p>
      <w:r>
        <w:t>211. The email from the rapporteurs dated October 29, 2008, which mentions a "reopening of the investigation", uses an improper term, as the investigation was not closed at the time the supplementary report was notified to the parties. On the contrary, on December 16, 2008, an expert was appointed by the general rapporteur, based on the provisions of Article L. 463-8 of the Commercial Code, to verify the validity of the calculations made from the confidential data provided by the banks' clients during the price survey. Following the postponement, decided by the general rapporteur to allow the parties to review the declassified documents and the expert's report (see the general rapporteur's letter dated October 15, 2008, references 18357 to 18382), the two-month period provided for in Article L. 463-2 of the Commercial Code for the parties to present their observations did not begin to run until the notification of the supplementary report of August 19, 2009. The argument is therefore factually unfounded and must be dismissed.</w:t>
      </w:r>
    </w:p>
    <w:p>
      <w:r>
        <w:t>d) On the sessions of November 24, 2009, and April 13, 2010</w:t>
      </w:r>
    </w:p>
    <w:p>
      <w:r>
        <w:t>212. The parties argue that the rapporteurs based their oral report before the Authority during the session of November 24, 2009, on numerical hypotheses and calculations regarding the impact of the transition to the EIC that had not been communicated to them beforehand, in violation of their rights of defense. They produce in support of their allegations an economic study from the consulting firms LECG and MAPP dated March 9, 2010. They also argued during the session of April 13, 2010, that the rapporteurs used new numerical hypotheses in their oral presentation, different from those presented during the session of November 24, 2009.</w:t>
      </w:r>
    </w:p>
    <w:p>
      <w:r>
        <w:t>213. The calculations referred to concern the evaluation of the cash gains and losses of banks following the transition to the EIC. They were presented in response to the observations and the economic study of October 30, 2009, submitted by the parties in response to the report of August 19, 2009, and notably retained the calculation hypotheses proposed by the banks. An infringement of the rights of defense could only be characterized if the Competition Authority were to adopt a new analysis presented by the rapporteurs during the session.</w:t>
      </w:r>
    </w:p>
    <w:p>
      <w:r>
        <w:t>214. In any case, the parties were free to present oral observations in response to the rapporteurs' presentation during the session. They are therefore not justified in complaining of a violation of their rights of defense on this point.</w:t>
      </w:r>
    </w:p>
    <w:p>
      <w:r>
        <w:t>215. Secondly, the Banques Populaires cannot effectively argue that the rapporteurs' presentation materials were not annexed to the minutes of the session of November 24, 2009, in violation of Article 50 of the Authority's internal regulations, as the materials were directly communicated by the rapporteurs to the parties during the session.</w:t>
      </w:r>
    </w:p>
    <w:p>
      <w:r>
        <w:t>216. Thirdly, Société Générale, Crédit du Nord, Crédit Agricole, and LCL argue that the session of November 24, 2009, was not conducted in a contradictory manner as they were unable to express their opposition to the referral to investigation. Crédit Agricole and LCL add that this decision deprived them of the opportunity to express themselves on the merits of the case following the intervention of the rapporteurs, in violation of the principle of equality of arms.</w:t>
      </w:r>
    </w:p>
    <w:p>
      <w:r>
        <w:t>217. However, Article R. 463-7 of the Commercial Code does not set any conditions for deciding on a referral to investigation (see the judgment of the Paris Court of Appeal of April 8, 2008, Glaxosmithkline). The Authority, whose decision, which is not subject to appeal, constitutes an internal measure that cannot be prejudicial to the parties (see the judgment of the Paris Court of Appeal of April 6, 2010, France Télécom), is not required to collect the oral observations of the parties on the principle of a referral to investigation.</w:t>
      </w:r>
    </w:p>
    <w:p>
      <w:r>
        <w:t>218. Furthermore, the principle of equality of arms has not been violated since the referral decision, which aimed to safeguard the rights of defense, allowed the parties to submit new written observations, particularly regarding the oral intervention of the rapporteurs during the session of November 24, 2009, and the parties had the opportunity to present oral observations on the merits of the case during the session of April 13, 2010.</w:t>
      </w:r>
    </w:p>
    <w:p>
      <w:r>
        <w:t>219. Lastly, Société Générale argues that the Authority is not competent, within the framework of a decision to refer to investigation, to limit the scope of that referral. However, in its aforementioned decision No. 09-SO-04, the Authority did not exceed the extent of its powers by indicating that the referral should allow the parties to access all the data from the price survey and to produce final written observations.</w:t>
      </w:r>
    </w:p>
    <w:p>
      <w:r>
        <w:t>3. ON TRADE SECRETS</w:t>
      </w:r>
    </w:p>
    <w:p>
      <w:r>
        <w:t>220. The Banques Populaires, LCL, and Crédit Agricole reproach the president of the Authority for having, by his decision No. 08-DSA-39, classified as confidential the data from the price survey conducted by the investigation services, without having responded to a formal request from the companies concerned. All parties reproach the Authority for subsequently ordering, without their agreement, the complete declassification of this data by its aforementioned decision No. 09-SO-04. They claim to have requested only access to the numerical data from the survey in a version guaranteeing the anonymity of the surveyed companies.</w:t>
      </w:r>
    </w:p>
    <w:p>
      <w:r>
        <w:rPr>
          <w:b/>
        </w:rPr>
        <w:t>[Pages 49–51]</w:t>
      </w:r>
    </w:p>
    <w:p>
      <w:r>
        <w:t>221. The sanction attached to the violation of trade secrets is not the nullity of the procedure, but the potential payment of compensatory damages, in the event that the disclosure of such information would be likely to cause direct and certain harm to the companies concerned (see in particular the decisions of the Competition Council No. 07-D-50 of December 20, 2007, regarding practices implemented in the toy distribution sector, § 470; and No. 09-D-36 regarding practices implemented by Orange Caraïbe and France Télécom in various markets for electronic communications services in the departments of Martinique, Guadeloupe, and Guyane, § 157).</w:t>
      </w:r>
    </w:p>
    <w:p>
      <w:r>
        <w:t>222. In the present case, the parties do not explain how the alleged violation of their right to protection of trade secrets would have harmed their rights of defense by preventing them from effectively responding to the grievances that had been notified to them. On the contrary, Decision No. 09-SO-04 was precisely aimed at ensuring the effective exercise of the rights of defense by giving the parties full access to the data used by the investigation services for the assessment of the impact of the practices denounced on the economy.</w:t>
      </w:r>
    </w:p>
    <w:p>
      <w:r>
        <w:t>223. Furthermore, the Banques Populaires, Société Générale, Banque de France, and Crédit du Nord argue that the procedure followed violated the rules of Article R. 463-15 of the Commercial Code. However, this argument is ineffective since, as stated above, these decisions did not have the effect of depriving the parties of the normal exercise of their rights of defense, and their irregularity, assuming it were proven, is therefore not likely to lead to the annulment of the procedure.</w:t>
      </w:r>
    </w:p>
    <w:p>
      <w:r>
        <w:t>224. It follows from the above that the argument based on the alleged non-compliance with trade secrets must be dismissed.</w:t>
      </w:r>
    </w:p>
    <w:p>
      <w:r>
        <w:t>4. ON THE REGULARITY OF THE EXPERTISE</w:t>
      </w:r>
    </w:p>
    <w:p>
      <w:r>
        <w:t>225. According to CE Participations, Crédit du Nord, Crédit Mutuel, CIC, Banques Populaires Participation, LCL, Crédit Agricole, BNP-Paribas, Banque de France, and Société Générale, the expertise procedure was manipulated, in violation of the provisions of Article L. 463-8 of the Commercial Code.</w:t>
      </w:r>
    </w:p>
    <w:p>
      <w:r>
        <w:t>a) On the definition of the expert's mission and its fulfillment</w:t>
      </w:r>
    </w:p>
    <w:p>
      <w:r>
        <w:t>226. According to the parties, the expert's mission was redefined during the procedure without their knowledge, three days before the establishment of the preliminary expert report, solely for the purpose of modifying the conclusions of the expertise.</w:t>
      </w:r>
    </w:p>
    <w:p>
      <w:r>
        <w:t>227. Article L. 463-8 of the Commercial Code states: "The general rapporteur may decide to call upon experts at any time during the investigation at the request of the rapporteur or a party. The mission and the time allotted to the expert are specified in the decision that designates him." Article R. 463-16 of the same code adds that the decision of the general rapporteur "defines the object of the expertise." These provisions do not provide for the consultation of the parties regarding the definition of the expert's mission. Indeed, according to Article L. 463-8, only the "conduct of the expertise operations" is done in an adversarial manner. In the present case, the modification of the definition of the object of the expertise without prior consultation of the parties is thus without impact on its regularity.</w:t>
      </w:r>
    </w:p>
    <w:p>
      <w:r>
        <w:t>228. Furthermore, it should be noted that the procedure followed in this case offered the parties guarantees exceeding the requirements of the Commercial Code, allowing them to present observations on the object of the expertise. By letter dated October 15, 2008 (references 18358 to 18382), the general rapporteur announced the appointment of an expert to certify the sincerity of the aggregation of confidential data by the investigation services and invited the parties to submit observations on the content of the mission entrusted to the expert. By a decision dated December 16, 2008, he appointed an expert and set the general framework of his mission taking into account the initial observations received (references 22164 and 22165). Finally, following two rounds of adversarial proceedings, the general rapporteur set the final methodology of the expertise by a decision dated February 17, 2009. The parties are therefore not justified in claiming that the procedure followed, which is particularly favorable to them, would have harmed their rights of defense.</w:t>
      </w:r>
    </w:p>
    <w:p>
      <w:r>
        <w:t>229. Finally, if the parties argue that the expert did not fulfill his entire mission, this circumstance is not likely to annul the expert report. The Court of Appeal of Paris indeed ruled that "the grievance made against [the expert] for not having fully completed his mission is not likely to lead to the nullity of the report he submitted, as the parties, like the rapporteur, retain the possibility of requesting a new expertise from the general rapporteur in accordance with Article L. 463-8 of the Commercial Code" (judgment of June 28, 2005, Société Vedettes Inter-Iles Vendéennes, not overturned on this point).</w:t>
      </w:r>
    </w:p>
    <w:p>
      <w:r>
        <w:t>b) On the relationships between the expert and the rapporteurs</w:t>
      </w:r>
    </w:p>
    <w:p>
      <w:r>
        <w:t>230. The parties complain about the contacts between the expert and the rapporteurs, which would have resulted in a verification and modifications of the results of the expertise, whereas the expert's mission was, on the contrary, to verify the work of the rapporteurs.</w:t>
      </w:r>
    </w:p>
    <w:p>
      <w:r>
        <w:t>231. Article R. 463-16 of the Commercial Code provides that "the expert(s) inform the rapporteur in charge of the case of the progress of the expertise work." The relationships between the rapporteur and the expert were clarified by the aforementioned judgment of the Court of Appeal of June 28, 2005, which stated that "the rapporteur is not (...) deprived of his powers during the course of the expertise; (...) if he encounters difficulties in fulfilling his mission, the expert has the option of bringing this to his attention, and the rapporteur is authorized to give him advice on the direction of his work; (...) however, this advice cannot bind the expert." In the case at hand, the court confirmed the validity of the expertise by noting that the advice given by the rapporteur "was not likely to modify the mission that had been given [to the expert] by the general rapporteur as defined by him" and that it had been "brought to the attention of the parties who were able, in a timely manner, to debate it adversarially before the expert."</w:t>
      </w:r>
    </w:p>
    <w:p>
      <w:r>
        <w:t>232. In this case, the rapporteurs provided the expert with all the data resulting from the price survey conducted with the 700 companies, in accordance with the wishes expressed by the parties in their observations of January 12, 2009 (references 33316 and 33318). They also submitted summary documents that organized the transcription of this data to facilitate its use. The transmission of these tables, which merely reproduce the data necessary for the expert's work without giving him advice on the direction of his work, did not therefore alter the fulfillment of his mission.</w:t>
      </w:r>
    </w:p>
    <w:p>
      <w:r>
        <w:t>233. Furthermore, within the framework of the adversarial debate, the rapporteurs responded to the preliminary expert report by making several remarks, which were addressed to the expert and all the parties concerned (email of July 13, 2009, reference 29059). Finally, the rapporteurs answered certain questions from the expert regarding the transmitted data. The rapporteurs' responses were clearly identified in the documents transmitted by the expert to the parties on July 14 (references 29079 to 29129). The latter thus had the opportunity to debate them, notably through their supplementary statements addressed to the expert on August 4, 2009.</w:t>
      </w:r>
    </w:p>
    <w:p>
      <w:r>
        <w:t>234. Under these conditions, the relationships between the expert and the rapporteurs are not likely to undermine the validity of the expertise.</w:t>
      </w:r>
    </w:p>
    <w:p>
      <w:r>
        <w:t>c) On the means made available to the parties to respond to the expert work</w:t>
      </w:r>
    </w:p>
    <w:p>
      <w:r>
        <w:t>235. The parties argue that they did not have sufficient time to respond to the expert's reports, particularly due to the late communication of certain documents, including the list of 104 banking conditions. They argue that they should have been summoned by the expert prior to the communication of his preliminary report, in accordance with the case law of the Court of Cassation rendered under Article 160 of the Code of Civil Procedure and the applicable adversarial rules in this matter (Cass. civ. 2e, December 20, 2001).</w:t>
      </w:r>
    </w:p>
    <w:p>
      <w:r>
        <w:t>236. However, the expertise ordered within the framework of an investigation conducted by the services of the Competition Authority is governed by the special provisions of Articles L. 463-8 and R. 463-16 of the Commercial Code. The Court of Appeal of Paris ruled that "the provisions of the Code of Civil Procedure, which are primarily aimed at defining the conditions under which a party can obtain from the judge a decision on the merits of a claim directed against another party and based on the recognition of a subjective right, do not apply to the procedure followed before the Competition Council which, in the context of its mission to protect the economic public order, conducts prosecutions for punitive purposes leading it to impose punitive sanctions" (judgment of April 29, 2009, Philips France). Therefore, the parties' reliance on a violation of the provisions of Article 160 of the Code of Civil Procedure is unnecessary.</w:t>
      </w:r>
    </w:p>
    <w:p>
      <w:r>
        <w:t>237. Article R. 463-16 of the Commercial Code provides that "the expert(s) must take into account the observations of the parties, which may be submitted in writing or collected orally, and must attach them to their report if they are written and if the concerned party requests it. They must mention in their report the follow-up they have given to them." It follows from these provisions that, contrary to what is argued, the summoning of the parties in the present case was not mandatory. In any event, the parties were summoned by the expert to present their observations orally.</w:t>
      </w:r>
    </w:p>
    <w:p>
      <w:r>
        <w:t>238. Furthermore, the parties were able to respond to the expert's initial writings formalized in a "pre-report" that was transmitted to them on February 20, 2009, more than five months before the sending of the final report. The parties were thus able to submit statements in May 2009, to which the expert responded in July, summary statements in July, and supplementary statements following the expert's summons in August. The argument based on the lack of time given to the parties to present their observations is therefore factually unfounded and must be dismissed.</w:t>
      </w:r>
    </w:p>
    <w:p>
      <w:r>
        <w:t>239. Finally, the document titled "the 104 conditions" is not part of the documents relevant to the expert work, as explained by the expert to the parties in a message dated July 9, 2009 (reference 36429). They cannot therefore validly complain about its alleged late communication within the framework of the expertise.</w:t>
      </w:r>
    </w:p>
    <w:p>
      <w:r>
        <w:rPr>
          <w:b/>
        </w:rPr>
        <w:t>[Pages 52–54]</w:t>
      </w:r>
    </w:p>
    <w:p>
      <w:r>
        <w:t>240. It follows from all of the above that the parties are not justified in challenging the validity of the expertise. In any case, it should be noted that the parties had access to all the data relevant to the expertise procedure, following the referral of the case for investigation ordered by decision no. 09-S-04 mentioned above.</w:t>
      </w:r>
    </w:p>
    <w:p>
      <w:r>
        <w:t>5. ON THE COMMUNICATION OF THE REFERRAL TO THE BANKING COMMISSION</w:t>
      </w:r>
    </w:p>
    <w:p>
      <w:r>
        <w:t>241. BNP-Paribas, LCL, and Crédit Agricole criticize the investigation services for having informed the Banking Commission late about the ongoing litigation and for having communicated the notification of grievances, rather than, as provided by Article R. 463-9 of the Commercial Code, the referral itself. Consequently, the parties believe that they could not refer to the opinion of the Banking Commission in their observations, which would constitute a violation of the adversarial principle.</w:t>
      </w:r>
    </w:p>
    <w:p>
      <w:r>
        <w:t>242. Firstly, the act of referral ex officio was communicated to the Banking Commission, in accordance with the provisions of Article R. 463-9 of the Commercial Code. This document is indeed included as the first annex of the notification of grievances, communicated to the Banking Commission on March 18, 2008 (reference 4462).</w:t>
      </w:r>
    </w:p>
    <w:p>
      <w:r>
        <w:t>243. Secondly, regarding the late notification to the Banking Commission, the Court of Cassation ruled, in the case that led to decision no. 00-D-28 concerning the competitive situation in the mortgage credit sector, that "Article 16 of the decree of December 29, 1986 [now Article R. 463-9 of the Commercial Code] does not specify the moment at which the referral must be communicated to the relevant administrative authority, does not require that the opinion of this authority be sought as soon as the referral to the Council is made, and it is sufficient that this provision is implemented in conditions compatible with the respect of the adversarial nature of the procedure before the Council. The Court of Appeal, which observes that the Council considered, in this case, that it was appropriate to transmit, in addition to the act of referral which it had initiated, the notification of grievances, a document likely to facilitate the issuance of an informed opinion by this authority, and that the rights of the defense were not compromised by proceeding with this formality on November 27, 1998, since it was completed before the notification of the report, ruled correctly" (Cass.com., June 23, 2004, appeal no. 01-17896 02-10066). In this case, regarding an ex officio referral, the communication of the notification of grievances allowed the Banking Commission to have the information necessary to issue an informed opinion. Furthermore, the opinion of the Banking Commission was subject to adversarial proceedings and the parties were able to take it into account to produce their written observations within the legal two-month period.</w:t>
      </w:r>
    </w:p>
    <w:p>
      <w:r>
        <w:t>244. It follows from the above that the argument based on the violation of the provisions of Article R. 463-9 of the Commercial Code is factually unfounded and must be dismissed.</w:t>
      </w:r>
    </w:p>
    <w:p>
      <w:r>
        <w:t>6. ON THE RESPECT OF THE PRESUMPTION OF INNOCENCE AND THE SECRECY OF THE INVESTIGATION</w:t>
      </w:r>
    </w:p>
    <w:p>
      <w:r>
        <w:t>245. Firstly, Crédit Mutuel, CIC, LCL, Crédit Agricole, BNP-Paribas, and Société Générale criticize the Authority for having referred to the present case in its opinion no. 09-A-35 of June 26, 2009, concerning the draft ordinance relating to the conditions governing the provision of payment services and establishing payment institutions, while this file was still under investigation at the date of publication of the opinion.</w:t>
      </w:r>
    </w:p>
    <w:p>
      <w:r>
        <w:t>246. However, certain passages of the opinion highlighted by the parties do not refer to the present case but summarize the position of the European Commission on cases concerning agreements on interchange fees that it has dealt with (§ 15 of the opinion) or present elements of economic analysis of interbank fees, without qualifying the behaviors in question in light of competition law rules (§ 106 of the opinion). While the opinion mentions that "the Competition Authority will rule at the end of 2009 on the legality of interbank fees related to bank checks" (§ 22), this reference, which contains no indication of the outcome of the dispute, the qualification of the facts, or the identity of the parties involved, does not constitute a violation of the secrecy of the investigation and cannot be likened to a pre-judgment that would violate the rights of the parties arising from the principle of the presumption of innocence.</w:t>
      </w:r>
    </w:p>
    <w:p>
      <w:r>
        <w:t>247. Secondly, Crédit Mutuel and CIC believe that the rights of the defense were violated by the mention, in the reports notified by the investigation services, of the preliminary discussions held with the companies involved in the procedure to consider the non-contestation of the grievances, this mention risking to be perceived by the Authority's board as an admission of guilt undermining any defense on the merits.</w:t>
      </w:r>
    </w:p>
    <w:p>
      <w:r>
        <w:t>248. In this regard, it should be recalled that the non-contestation of grievances, which is an integral part of the procedure followed before the Authority, does not, in itself, constitute either an admission or a recognition of liability (see, in particular, the judgment of the Paris Court of Appeal of January 29, 2008, Le Goff Confort SAS, cited above). Moreover, the report of August 14, 2008 (§ 230) and the supplementary report of August 19, 2009 (§ 82 et seq.) mentioned the preliminary discussions with the parties solely to explain why the notification of grievances included elements intended to assess the seriousness of the practices and how the parties attempted to use these discussions to their advantage in the procedure. Under these conditions, the aforementioned argument is factually unfounded and must be dismissed.</w:t>
      </w:r>
    </w:p>
    <w:p>
      <w:r>
        <w:t>B. ON THE APPLICABLE LAW</w:t>
      </w:r>
    </w:p>
    <w:p>
      <w:r>
        <w:t>1. ON THE APPLICABILITY OF COMPETITION LAW</w:t>
      </w:r>
    </w:p>
    <w:p>
      <w:r>
        <w:t>249. The parties argue that competition law is not applicable in this case. They believe, in fact, that the nine interbank fees in question cannot be anti-competitive and argue in this regard the absence of an interbank market. They specify that, given the universality of payment methods, any bank must accept payment orders given by customers of any other bank and therefore has no choice of partner. The relationship between the drawn banks and the presenting banks being constrained by a third-party will, there would be no supply or demand and, consequently, no market. According to some parties, it follows that only an interbank fee that targets the pricing conditions applied to end customers could be subject to examination under competition rules.</w:t>
      </w:r>
    </w:p>
    <w:p>
      <w:r>
        <w:t>250. La Banque Postale, for its part, considers that the Competition Authority is not competent to assess "the principle and amount of interbank fees" nor to substitute itself for the sector regulator, which is the Banque de France.</w:t>
      </w:r>
    </w:p>
    <w:p>
      <w:r>
        <w:t>251. It should first be recalled that, in the Züchner judgment of July 14, 1981, the Court of Justice of the European Communities ruled that banking activities are not exempt from the application of competition law (172/80, Rec. 1981, p. 2021, point 8). The Court of Justice specified that the fund transfers carried out by banking establishments for the benefit of their clients, although they fall within the specific mission of banks, do not constitute "services of general economic interest" within the meaning of the treaty (point 7 of the judgment).</w:t>
      </w:r>
    </w:p>
    <w:p>
      <w:r>
        <w:t>252. The same rule is stated in domestic law by Article L. 511-4 of the Monetary and Financial Code, which provides that: "Articles L. 420-1 to L. 420-4 of the Commercial Code apply to credit institutions for their banking operations and their related operations defined in Article L. 311-2 as well as to payment institutions for their payment services and their related services defined in Article L. 522-2."</w:t>
      </w:r>
    </w:p>
    <w:p>
      <w:r>
        <w:t>253. While the parties argue that there is no "interbank market" for checks, the interbank clearing system for checks is part of the overall check payment system, which is quadripartite in nature. This system connects, for each operation related to a check payment (the payment itself or related operations such as the rejection of a payment), two end customers – the payer (or drawee) and the beneficiary (or presenter) – and two intermediaries – the drawee bank and the presenting bank. The drawee bank and the presenting bank can be the same entity (the check is then said to be intrabank) or two distinct entities (the check is said to be interbank).</w:t>
      </w:r>
    </w:p>
    <w:p>
      <w:r>
        <w:t>254. In this latter case, the relationships between the intermediaries fall within the interbank sphere and the relationships between each end customer and their intermediary fall within the bank-customer relationship. Thus, two sides of the market are distinguished regarding services related to check payments: a market for the issuance of check forms that connects the drawee banks and the payers and a market for the presentation of checks that connects the beneficiaries and the presenting banks.</w:t>
      </w:r>
    </w:p>
    <w:p>
      <w:r>
        <w:t>255. When a given operation carried out between the end customers of two banks does not involve interbank aspects other than technical agreements ensuring the interoperability of the system, each of the two banks determines with its customer the balance specific to the bank-customer relationship. Conversely, when banks decide that a payment operation carried out between two of their end customers will generate interbank effects, such as the payment of a fee by the presenting bank to the drawee bank, such an agreement is likely to influence their costs and, consequently, the pricing policy of the services they provide to their customers.</w:t>
      </w:r>
    </w:p>
    <w:p>
      <w:r>
        <w:t>256. The interbank sphere and the bank-customer sphere are therefore two distinct but interdependent spheres, since interbank agreements are likely to produce effects outside the interbank sphere and influence price formation in the bank-customer relationship.</w:t>
      </w:r>
    </w:p>
    <w:p>
      <w:r>
        <w:t>257. The Commission has thus had the opportunity to examine the legality of several types of interbank fees in light of competition law rules (see, for example, the decisions of March 30, 2002, Visa, and December 19, 2007, Mastercard, cited above, or the decisions of October 17, 2007, Groupement des Cartes Bancaires "CB", case COMP/D1/38606 and September 8, 1999, GSA, case IV/34.010).</w:t>
      </w:r>
    </w:p>
    <w:p>
      <w:r>
        <w:t>258. Similarly, the Court of First Instance of the European Communities has dealt with interbank tariffs in the context of the so-called "Lombard Club" case, without the application of competition law being called into question (judgment of December 14, 2006, Raiffeisen Zentralbank Österreich e.a./Commission, T-259/02 to T-264/02 and T-271/02, Rec. p. II-5169, point 176).</w:t>
      </w:r>
    </w:p>
    <w:p>
      <w:r>
        <w:t>259. In domestic law, the Competition Council examined, in its decision no. 88-D-37 of October 11, 1988, concerning the Groupement des cartes bancaires "CB", the compliance with the law...</w:t>
      </w:r>
    </w:p>
    <w:p>
      <w:r>
        <w:rPr>
          <w:b/>
        </w:rPr>
        <w:t>[Pages 55–57]</w:t>
      </w:r>
    </w:p>
    <w:p>
      <w:r>
        <w:t>de la concurrence de commissions interbancaires, dites commissions d’interchange, appliquées par les banques de commerçants aux banques de porteurs de cartes.</w:t>
      </w:r>
    </w:p>
    <w:p>
      <w:r>
        <w:t>260. Consequently, contrary to what the parties argue, the nine interbank commissions in question fall within the scope of Article L. 420-1 of the Commercial Code and Article 81 EC (now Article 101 TFEU). They therefore fall within the jurisdiction of the Competition Authority, as defined in I of Article L. 462-5 of the same code.</w:t>
      </w:r>
    </w:p>
    <w:p>
      <w:r>
        <w:t>2. ON THE APPLICABILITY OF COMMUNITY LAW</w:t>
      </w:r>
    </w:p>
    <w:p>
      <w:r>
        <w:t>261. The Banque de France, LCL, and Crédit Agricole argue that Article 81 EC cannot be applied in the present case. According to CE Participations, only the CEIC would be excluded from the scope of this article, unlike the CSC.</w:t>
      </w:r>
    </w:p>
    <w:p>
      <w:r>
        <w:t>262. Articles 81 EC and 82 EC (now 101 and 102 TFEU), in their version in force during the period of the practices, apply to horizontal and vertical agreements and to abusive practices of companies that are likely to affect trade between Member States. Based on the treaty and the Commission's guidelines regarding the notion of affecting trade as set out in Articles 81 and 82 of the treaty (OJ 2004 C 101, p. 81), the Competition Authority considers that three elements must be demonstrated to establish that practices are likely to have significantly affected trade between Member States: the existence of exchanges between Member States concerning the products or services subject to the practice, the existence of practices likely to affect these exchanges, and the significant nature of this possible effect (see the decision of the Competition Authority No. 08-D-30 of December 4, 2008, regarding practices implemented by Shell, Esso SAF, Chevron Global Aviation, Total Outre Mer, and Total Réunion, confirmed by the judgment of the Paris Court of Appeal of November 24, 2009).</w:t>
      </w:r>
    </w:p>
    <w:p>
      <w:r>
        <w:t>a) On the existence of exchanges between Member States</w:t>
      </w:r>
    </w:p>
    <w:p>
      <w:r>
        <w:t>263. The Banque de France argues that checks are not a means of cross-border payment.</w:t>
      </w:r>
    </w:p>
    <w:p>
      <w:r>
        <w:t>264. However, the Commission's guidelines specify that "the notion of 'trade' is not limited to traditional cross-border exchanges of goods and services, but has a broader scope that encompasses all international economic activity, including establishment" (point 19). Thus, "trade between Member States can also be affected in cases where the market in question is national or subnational" (point 22).</w:t>
      </w:r>
    </w:p>
    <w:p>
      <w:r>
        <w:t>265. In this regard, the present case must be assessed taking into account the liberalization of banking services, ensured in particular by the second directive 89/646/EEC of the Council, of December 15, 1989, aimed at coordinating the legislative, regulatory, and administrative provisions concerning access to the activity of credit institutions and its exercise (OJ L 386, p. 1), which establishes the principle of a single community authorization. Granted by a Member State to a credit institution, this authorization allows it to operate throughout the Community in all basic banking activities, either by creating secondary establishments or by providing its services directly from the country where it is established. The home Member State ensures overall control of the banking establishment, while the host State supervises the branches established on its territory.</w:t>
      </w:r>
    </w:p>
    <w:p>
      <w:r>
        <w:t>266. A recent report from the Senate notes that: "with regard to foreign banking establishments, France is among the most open European countries to the presence of establishments under foreign control on its territory" (report of December 2009, "Banking regulation in the face of the financial crisis"). Furthermore, it follows from the findings stated above (point 24) that checks accounted for 37% of payments made in France in 2000 and 26% in 2006. It is therefore essential for a foreign bank wishing to penetrate the entire French market, beyond a niche clientele, to offer its clients check issuance options as well as a check collection service.</w:t>
      </w:r>
    </w:p>
    <w:p>
      <w:r>
        <w:t>267. The conditions, particularly cost-related, under which checks are processed throughout the national territory are therefore likely to influence the concrete implementation of the freedom of establishment and the free provision of banking services, thus allowing for the characterization of the existence of exchanges between Member States.</w:t>
      </w:r>
    </w:p>
    <w:p>
      <w:r>
        <w:t>b) On the existence of practices likely to significantly affect exchanges between Member States</w:t>
      </w:r>
    </w:p>
    <w:p>
      <w:r>
        <w:t>268. The parties argue, on the one hand, that the cost of checks for the presenting banks, which may be influenced by the disputed interbank commissions, does not constitute a barrier to entry into the national market. The only barrier to entry into the retail banking market would be the establishment of a network of local branches necessary for close relationships with clients. They argue, on the other hand, that the increase in the cost of checks impacts the check collection market, and not the issuance market.</w:t>
      </w:r>
    </w:p>
    <w:p>
      <w:r>
        <w:t>269. It follows from community case law that an agreement between companies, in order to be likely to affect trade between Member States, "must, based on a set of objective legal or factual elements, allow for a sufficient degree of probability that it may exert a direct or indirect, current or potential influence on the flow of trade between Member States, in a way that could harm the realization of the objectives of a single market between States" (see the judgment of July 11, 1985, Remia e.a./Commission, 42/84, Rec. p. 2545, point 22). In this regard, the Court of Justice has ruled that "an agreement extending across the entire territory of a Member State has, by its very nature, the effect of consolidating national compartmentalization, thereby hindering the economic interpenetration sought by the treaty" (see, for example, the judgment of February 19, 2002, Wouters e.a., C-309/99, Rec. p. I-1577, point 95). The Court of First Instance of the European Communities, in the judgment Raiffeisen Zentralbank Österreich/Commission, cited above, deduced from this case law "that there is, at the very least, a strong presumption that a restrictive competition practice applied across the entire territory of a Member State is likely to contribute to the compartmentalization of markets and to affect intra-community exchanges. This presumption can only be set aside if the analysis of the characteristics of the agreement and the economic context in which it is situated demonstrates otherwise" (point 181). This analysis was confirmed by the Court of Justice in its judgment of September 24, 2009, Erste Group Bank/Commission (C‑125/07 P, C‑133/07 P, C‑135/07 P and C‑137/07 P, not yet published in the Recueil, point 39).</w:t>
      </w:r>
    </w:p>
    <w:p>
      <w:r>
        <w:t>270. However, this circumstance alone is not sufficient to conclude that there is a significant effect on intra-community trade. This indeed depends on the circumstances of each case, particularly the nature of the agreement or practice, the nature of the products or services concerned, as well as the market position of the companies involved. (point 45 of the guidelines).</w:t>
      </w:r>
    </w:p>
    <w:p>
      <w:r>
        <w:t>271. In the present case, the practices in question involve a horizontal agreement covering the entire French territory. If, as noted by the parties, the difficulty for foreign banks to penetrate the national market for retail banking services is mainly due to the absence of local branch networks, this entry barrier does not have the same importance for access to the market for banking services to businesses, which constitute the main potential clientele for foreign banks. The practices in question are therefore likely to affect the free establishment of foreign banks, as the application of interbank commissions has the effect of raising the processing cost of checks presented to banks by their business clientele. The reality of such an effect is illustrated by the case of HSBC, which indicates that it was forced to increase the fees charged to the company Carrefour in July 2003, due to the significant increase in unit processing costs of checks, even though it specifies that this increase is neither necessarily nor exclusively related to the establishment of the CEIC (file 5507). Thus, the disputed agreement may have contributed to the strengthening of barriers to entry into the banking services market in France.</w:t>
      </w:r>
    </w:p>
    <w:p>
      <w:r>
        <w:t>272. The case differs from the circumstances of the case that led to the judgment of the Court of Justice of January 21, 1999, Bagnasco e.a., C-215/96 and C-216/96, Rec. 1999, p. I-135), invoked by the parties. Seized as a preliminary ruling on the compatibility with community law of uniform banking conditions relating to general guarantees required to open a current account and derogating from the common law of guarantees in Italy, the Court of Justice noted, in concluding that there was no effect on intra-community trade, that the participation of subsidiaries or branches of non-Italian financial institutions in the banking service concerned was limited, and that "the possible use of [the contracts in question] by the main clientele of foreign banks, namely large companies and foreign operators, is not of great importance and, in any case, not a decisive importance in the choice made by foreign banks to establish themselves or not in Italy, as contracts such as those in question are rarely used by this type of clientele" (points 51 and 52 of the judgment). It is a similar reasoning, based on the limited interest of the product in question for foreign banks, that led the Commission to conclude that there was no significant effect on trade between States by the interbank commission imposed on structured communication transfers in the Netherlands in its decision of September 8, 1999, GSA, cited above.</w:t>
      </w:r>
    </w:p>
    <w:p>
      <w:r>
        <w:t>273. In the "Club Lombard" case, the Court of First Instance of the European Communities specified that: "it follows from the Bagnasco e.a. judgment that there may be agreements covering the entire territory of a Member State that do not produce a significant effect on trade between Member States. Furthermore, the Commission adopted a similar approach in the Dutch Banks II decision. However, the complex infringement at issue in this case differs from the agreements referred to in the judgment and decision cited in the previous point. Indeed, the consultations within the 'Lombard network' involved not only almost all credit institutions in Austria but also a very wide range of banking products and services, including deposits and loans, and, as a result, they were likely to alter the conditions of competition throughout that Member State." (points 182 and 183 of the Raiffeisen judgment).</w:t>
      </w:r>
    </w:p>
    <w:p>
      <w:r>
        <w:rPr>
          <w:b/>
        </w:rPr>
        <w:t>[Pages 58–60]</w:t>
      </w:r>
    </w:p>
    <w:p>
      <w:r>
        <w:t>Zentralbank Österreich/Commission, cited above, confirmed by the judgment of the Court of Justice, Erste Group Bank/Commission, cited above, paragraph 40).</w:t>
      </w:r>
    </w:p>
    <w:p>
      <w:r>
        <w:t>274. In the present case, the discussions within the CIR involved the twelve main credit institutions established in France. Due to the massive use of checks as a means of payment in France during the period in question, the pricing conditions governing the submission of checks, particularly by businesses, potential clients of foreign banks, were likely to have real significance in the decision of these banks to establish themselves in France or not. Since offering a check service to clients requires participation in the interbank check clearing system, foreign banking institutions wishing to establish themselves in France were necessarily affected by the contested practice, namely the establishment of fees for processing interbank checks. Under these conditions, the significant effect on intra-community trade is established.</w:t>
      </w:r>
    </w:p>
    <w:p>
      <w:r>
        <w:t>275. It follows from all of the above that the practices implemented can be classified under Article 81 EC.</w:t>
      </w:r>
    </w:p>
    <w:p>
      <w:r>
        <w:t>C. ON THE PRACTICES</w:t>
      </w:r>
    </w:p>
    <w:p>
      <w:r>
        <w:t>276. As a preliminary point, it should be recalled that when the practices that are the subject of the notification of grievances are sought under the prohibition of agreements, it is not necessary to define the market precisely, as in the case of abuse of a dominant position, as long as the sector and the markets have been sufficiently identified to allow for the qualification of the observed practices and to attribute them to the operators who implemented them (decision of the Competition Council No. 05-D-27 of June 15, 2005, regarding practices identified in the white tuna sector, paragraph 28; see, in the same sense, the judgment of the Court of First Instance of July 8, 2004, Mannesmannröhren-Werke AG, T-44/00, ECR II-2223, paragraph 132). In this case, the sector and the relevant markets, namely the markets for the issuance and submission of checks, having been sufficiently identified, there is no need to rule on the argument presented by Crédit du Nord that large submitters constitute a specific demand among check beneficiaries due to the overall relationship between banks and these companies.</w:t>
      </w:r>
    </w:p>
    <w:p>
      <w:r>
        <w:t>1. ON THE EXISTENCE OF AN AGREEMENT</w:t>
      </w:r>
    </w:p>
    <w:p>
      <w:r>
        <w:t>a) On the concurrence of wills</w:t>
      </w:r>
    </w:p>
    <w:p>
      <w:r>
        <w:t>277. For there to be an agreement within the meaning of Article 81 EC and Article L. 420-1 of the Commercial Code, it is sufficient that at least two companies have expressed their common intention to behave in a certain way in the market (see in particular the judgments of the Court of Justice of July 15, 1970, ACF Chemiefarma/Commission, 41/69, ECR p. 661, paragraph 112, and of July 8, 1999, Commission/Anic Partecipazioni, C-49/92 P, ECR p. I-4125, paragraph 130, and the judgment of the Court of First Instance of September 27, 2006, GlaxoSmithKline Services/Commission, T-168/01, ECR p. II-2969, paragraph 76; see also the annual report for 1980 of the Competition Commission, p. 223).</w:t>
      </w:r>
    </w:p>
    <w:p>
      <w:r>
        <w:t>278. In this case, the twelve banks involved do not contest having participated in the meetings of the CIR during which they agreed to establish the CEIC and the CSC and to set the amount. It is also established that they subsequently implemented the contested agreement, as evidenced by the minutes of the CIR meeting of February 3, 2000.</w:t>
      </w:r>
    </w:p>
    <w:p>
      <w:r>
        <w:t>b) On the individual participation of the companies involved in the agreement</w:t>
      </w:r>
    </w:p>
    <w:p>
      <w:r>
        <w:t>On the participation in the agreement of the Banque de France</w:t>
      </w:r>
    </w:p>
    <w:p>
      <w:r>
        <w:t>279. The Banque de France claims that it participated in the meetings of the CIR as the Central Bank responsible for ensuring the proper functioning and security of payment systems. It therefore considers that it cannot be classified as a company within the meaning of Article L. 420-1 of the Commercial Code regarding its participation in these meetings.</w:t>
      </w:r>
    </w:p>
    <w:p>
      <w:r>
        <w:t>280. The Banque de France is both an institution whose capital belongs to the State, tasked with public service missions and endowed with public authority prerogatives, particularly in the payment means sector – it does not, however, have, as it itself acknowledges, regulatory power regarding the organization of payment systems – and a bank engaging in commercial banking activities falling under Article L. 410-1 of the Commercial Code.</w:t>
      </w:r>
    </w:p>
    <w:p>
      <w:r>
        <w:t>281. In this case, it should be noted that the Banque de France participated in the meetings of the CIR during which the financial consequences of the transition to the EIC for banks, including itself as a submitting bank notably for the public treasury, were examined. Furthermore, like the other eleven banks, the Banque de France paid until 2007 the CEIC of 4.3 euro cents per check submitted.</w:t>
      </w:r>
    </w:p>
    <w:p>
      <w:r>
        <w:t>282. Consequently, the Banque de France must be classified as a company within the meaning of competition law regarding its participation in the meetings of the CIR.</w:t>
      </w:r>
    </w:p>
    <w:p>
      <w:r>
        <w:t>On the participation in the agreement of Crédit du Nord</w:t>
      </w:r>
    </w:p>
    <w:p>
      <w:r>
        <w:t>283. Crédit du Nord argues that, since it was only present at one meeting of the CIR, of which it could not know the anti-competitive purpose, its participation in the agreement cannot be established.</w:t>
      </w:r>
    </w:p>
    <w:p>
      <w:r>
        <w:t>284. In this regard, it is first necessary to recall the decision-making practice of the Competition Council regarding the standard of proof of a company's participation in a horizontal agreement. The Council distinguished between situations where anti-competitive discussions take place during meetings held within the statutory framework of a professional organization and those where the agreement is developed during informal meetings, often clandestine or secret, attended by competing companies on their own initiative (decision No. 07-D-48 of December 18, 2007, regarding practices implemented in the national and international moving sector, paragraph 178 et seq., confirmed by the judgments of the Paris Court of Appeal of February 25, 2009, Transeuro Desbordes Worldwide Relocations SAS, and of the Court of Cassation of April 7, 2010).</w:t>
      </w:r>
    </w:p>
    <w:p>
      <w:r>
        <w:t>285. In the first case, which corresponds to the present case, it is considered that the mere fact of having participated in a meeting held within the statutory framework of a professional organization, the agenda of which has in fact evolved towards an anti-competitive purpose, is not sufficient to characterize the companies' adherence to the agreement, since the company regularly summoned cannot be aware of the anti-competitive purpose of that meeting. Proof of adherence to the agreement then requires additional evidence, such as the dissemination of instructions established during the meeting, the implementation of concrete measures decided during it, or participation in a subsequent meeting with the same anti-competitive purpose (same decision, paragraph 179).</w:t>
      </w:r>
    </w:p>
    <w:p>
      <w:r>
        <w:t>286. In this case, contrary to what Crédit du Nord argues, its participation in the contested practices does not result solely from its presence at one of the CIR meetings. Indeed, it appears in particular that Crédit du Nord received documents concerning the meetings it did not attend, that it did not oppose the decision of the other members of the CIR to establish the nine interbank commissions in question, and that it implemented the contested agreement for nearly six years.</w:t>
      </w:r>
    </w:p>
    <w:p>
      <w:r>
        <w:t>287. It follows from the above that Crédit du Nord's participation in the agreement is established.</w:t>
      </w:r>
    </w:p>
    <w:p>
      <w:r>
        <w:t>On the participation in the agreement of non-involved companies</w:t>
      </w:r>
    </w:p>
    <w:p>
      <w:r>
        <w:t>288. LCL, Crédit Agricole, and La Banque Postale criticize the investigation services for not having implicated certain companies that directly participated in the decisions of the CIR or indirectly through a representative member of the CIR. Several hundred credit institutions would thus have been represented within the CIR and would have subsequently applied the contested agreement, while the notification of grievances would have been addressed only to twelve of them.</w:t>
      </w:r>
    </w:p>
    <w:p>
      <w:r>
        <w:t>289. La Banque Postale adds that the choice of the rapporteurs to limit the number of implicated credit institutions constitutes a breach of equality, as the sanction incurred by each of them is proportionate to the overall damage to the economy and not to the damage for which they are individually responsible.</w:t>
      </w:r>
    </w:p>
    <w:p>
      <w:r>
        <w:t>290. In this regard, it should be recalled that the Court of Cassation has recognized that the rapporteur has discretion regarding the conduct of its investigations (judgment of June 15, 1999, Lilly France). It can notably summon to the procedure only those companies that took an active part in the organization and implementation of the agreement (judgment of the Paris Court of Appeal of October 17, 1991, Salomon).</w:t>
      </w:r>
    </w:p>
    <w:p>
      <w:r>
        <w:t>291. In this case, the grievances were notified to the companies that were members of the CIR and that subsequently applied the contested agreement. However, the companies mentioned by the parties do not meet this double condition. Indeed, they are either professional associations that were not called to personally apply the agreement, or companies that did apply the agreement but were not members of the CIR.</w:t>
      </w:r>
    </w:p>
    <w:p>
      <w:r>
        <w:t>292. Furthermore, the Paris Court of Appeal ruled that "a sanctioned company is not admissible to criticize the decision in that it does not sanction other companies, this circumstance not causing it any harm" (judgment of January 28, 2009, Epsé Joué Club, final judgment).</w:t>
      </w:r>
    </w:p>
    <w:p>
      <w:r>
        <w:t>293. Finally, contrary to what La Banque Postale argues, the imposed sanction is not intended to repair only the damage for which the company would be responsible. While the assessment of the damage to the economy results from a global assessment of the practices, this assessment "is only a reference to which each individualized sanction must be related, taking into account the specific situation of each company" (same judgment).</w:t>
      </w:r>
    </w:p>
    <w:p>
      <w:r>
        <w:t>c) On the absence of constraint</w:t>
      </w:r>
    </w:p>
    <w:p>
      <w:r>
        <w:t>294. The parties argue, in substance, that they would have acted under pressure from public authorities and the Banque de France, which would exempt them from any responsibility regarding the contested practices.</w:t>
      </w:r>
    </w:p>
    <w:p>
      <w:r>
        <w:rPr>
          <w:b/>
        </w:rPr>
        <w:t>[Pages 61–63]</w:t>
      </w:r>
    </w:p>
    <w:p>
      <w:r>
        <w:t>295. The public authorities, by implicitly delegating their regulatory power to the banks, would have strongly encouraged, if not compelled, them to consult on the principle and pricing of interbank commissions for the processing of checks.</w:t>
      </w:r>
    </w:p>
    <w:p>
      <w:r>
        <w:t>296. As for the Banque de France, it would have exercised real influence in the context of the CIR negotiations: it would have been the origin of the compromise that led to the creation of the nine interbank commissions in February 2000 and would have played a decisive role regarding the abolition of the CEIC and the reduction of CSC in October 2007.</w:t>
      </w:r>
    </w:p>
    <w:p>
      <w:r>
        <w:t>297. Under both community law and national law, anti-competitive behaviors are only reprehensible if they have been adopted by companies with autonomy of will (see, in particular, the judgment of the Court of Justice of November 11, 1997, Commission and France/Ladbroke Racing, C-359/95 P and C-379/95 P, Rec. p. I-6265, point 33). The community judge clarified that, in the absence of a binding legal provision imposing anti-competitive behavior and leaving no room for independent behaviors by companies, it cannot be concluded that there is a lack of autonomy of the companies "unless it appears on the basis of objective, relevant, and consistent evidence that this behavior was unilaterally imposed on them by the national authorities through the exercise of irresistible pressures such as, for example, the threat of state measures that could cause them significant losses" (judgment of the Court of First Instance of September 18, 1996, Asia Motor France e.a./Commission, T-387/94, Rec. p. II-961, point 65).</w:t>
      </w:r>
    </w:p>
    <w:p>
      <w:r>
        <w:t>298. In the judgment of December 13, 2006, FNCBV e.a./Commission (T-217/03 and T-245/03, Rec. p. II-4987, point 92) rendered in the so-called "Beef" case, the Court of First Instance recalled, regarding the role played by the French Minister of Agriculture in concluding the contested agreement, that, according to consistent case law, the fact that the behavior of companies was known, authorized, or even encouraged by national authorities had no influence on the applicability of Article 81 EC.</w:t>
      </w:r>
    </w:p>
    <w:p>
      <w:r>
        <w:t>299. In accordance with community case law, the Competition Authority considers that the fact that anti-competitive practices were approved or encouraged by public authorities is not sufficient to exempt the companies involved from their liability. Public intervention can only constitute such a cause of exemption if the legal framework it establishes is binding (see, in this sense, the decision of the Competition Council No. 05-D-10 of March 15, 2005, regarding practices implemented in the Brittany cauliflower market).</w:t>
      </w:r>
    </w:p>
    <w:p>
      <w:r>
        <w:t>300. As the Banking Commission noted in its opinion of May 22, 2008, the implementation of the EIC constituted "a major political issue, actively supported by all public authorities in the context of the transition to the euro." If, in this case, the public authorities' encouragement was real, this circumstance does not, however, establish that the setting of the nine interbank commissions was imposed by the public authorities during the transition to the EIC.</w:t>
      </w:r>
    </w:p>
    <w:p>
      <w:r>
        <w:t>301. Similarly, it does not appear from the minutes of the CIR meetings that the Banque de France exerted any pressure on the other banks regarding the establishment of said commissions, particularly the CEIC. On the contrary, the Banque de France was clearly opposed to the creation of such a commission, as it expressed during the meeting of July 1, 1999: "the fixed commission is not desirable" (see points 101 above – findings section). While the Banque de France did indeed play a mediating role in the context of the CIR negotiations, proposing to reduce the level of the CEIC or to limit it in time, it was solely to find a compromise to allow the transition to the EIC.</w:t>
      </w:r>
    </w:p>
    <w:p>
      <w:r>
        <w:t>302. Finally, as recalled above, the Banque de France does not have regulatory power regarding the organization of payment systems.</w:t>
      </w:r>
    </w:p>
    <w:p>
      <w:r>
        <w:t>303. In any event, even assuming that the banks were under pressure from the public authorities or the Banque de France, it cannot be considered that such pressure could be qualified as irresistible in the sense of the case law recalled above. At most, this circumstance could be examined as a mitigating factor in the assessment of the sanction applied to the companies.</w:t>
      </w:r>
    </w:p>
    <w:p>
      <w:r>
        <w:t>304. Therefore, the argument must be dismissed.</w:t>
      </w:r>
    </w:p>
    <w:p>
      <w:r>
        <w:t>2. ON THE QUESTION OF ACCESSORY RESTRICTIONS</w:t>
      </w:r>
    </w:p>
    <w:p>
      <w:r>
        <w:t>305. The parties argue that the CEIC and the CSC constitute accessory restrictions to the transition to the EIC. They believe that the dematerialization of check exchanges, a project of general interest, does not in itself involve any restriction of competition and that the interbank commissions are directly linked to it since they were created to compensate for the financial burdens borne by banks due to the transition to this system.</w:t>
      </w:r>
    </w:p>
    <w:p>
      <w:r>
        <w:t>306. Regarding the CEIC, they argue that it was objectively necessary for the transition to the EIC, as no agreement would have been reached in the absence of this commission. In this regard, the Banques Populaires indicate that the CEIC was not created to ensure better profitability of the transition to the EIC for banks, but solely to obtain the agreement of all parties to the negotiation. The establishment specifies that in the absence of the CEIC, the only alternative available to banks was to maintain the interbank settlement deadlines that were in effect before the transition to the EIC. The bank argues that the role played by the Banque de France, the regulatory authority of the banking sector, in adopting this compromise demonstrates its essential nature. Furthermore, the Banque de France emphasizes that the abolition of the CEIC in 2007 does not demonstrate its lack of objective necessity, as an accessory restriction must be proportionate and, therefore, limited in duration. In addition, Crédit Mutuel and CIC believe that the proportionality of the CEIC is established since its level is lower than what would have been necessary to compensate for the losses of the banks predominantly drawn, such as Crédit Agricole.</w:t>
      </w:r>
    </w:p>
    <w:p>
      <w:r>
        <w:t>307. Regarding the CSC, the parties argue that they were objectively necessary to allow the conclusion of the agreement related to the transition to the EIC since it involved a decoupling between the bank on which the responsibility for a service rests and the one that actually bears the cost.</w:t>
      </w:r>
    </w:p>
    <w:p>
      <w:r>
        <w:t>a) The applicable law</w:t>
      </w:r>
    </w:p>
    <w:p>
      <w:r>
        <w:t>308. In its judgment M6 e.a./Commission of September 18, 2001, the Court of First Instance of the European Communities specified the scope of the notion of accessory restriction in competition law, which "covers any restriction that is directly linked and necessary to the realization of a main operation" (T-112/99, Rec. II-2459, points 104 et seq.). Accessory restrictions are not subject to a separate examination from that of the main operation under competition law. Thus, if the main operation does not restrict competition, the accessory restrictions to that agreement are compatible with Article 81, paragraph 1, EC.</w:t>
      </w:r>
    </w:p>
    <w:p>
      <w:r>
        <w:t>309. Regarding the condition relating to the direct link with the main operation, the Court indicates that it corresponds to "any restriction that is subordinate in importance to the realization of this operation and that has an obvious link with it" (same judgment, point 105). Regarding the condition relating to the necessity of a restriction, the community judge indicates that it is necessary "to examine, on the one hand, whether the restriction is objectively necessary for the realization of the main operation and, on the other hand, whether it is proportionate in relation to it" (point 106). In this regard, the Court specifies that "the examination of the objectively necessary nature of a restriction in relation to the main operation can only be relatively abstract. It is not a matter of analyzing whether, in view of the competitive situation in the relevant market, the restriction is indispensable for the commercial success of the main operation, but rather to determine whether, within the particular framework of the main operation, the restriction is necessary for the realization of this operation. If, in the absence of the restriction, the main operation proves to be difficult to realize or even unfeasible, the restriction may be considered objectively necessary for its realization" (point 109).</w:t>
      </w:r>
    </w:p>
    <w:p>
      <w:r>
        <w:t>310. Finally, the Court considers that "as soon as a restriction is objectively necessary for the realization of a main operation, it is also necessary to verify whether its duration and its material and geographical scope do not exceed what is necessary for the realization of said operation. If the duration or the scope of the restriction exceeds what is necessary for the realization of the operation, it must be subject to a separate analysis under Article 85, paragraph 3, of the Treaty" (same judgment, point 113; see also in this regard the judgment of the Court of July 11, 1985, Remia e.a./Commission, 42/84, Rec. p. 2545, point 20, and the judgment of the Court of July 2, 1992, Dansk Pelsdyravlerforening/Commission, T-61/89, Rec. p. II-1931, point 78).</w:t>
      </w:r>
    </w:p>
    <w:p>
      <w:r>
        <w:t>311. Furthermore, the community judge has specified that it is only within the precise framework of Article 81, paragraph 3, EC, which provides for the possibility of exempting restrictive agreements when they meet a certain number of conditions, that a balancing of the pro-competitive and anti-competitive aspects of a restriction can take place and notes that Article 81, paragraph 3, EC "would largely lose its useful effect if such an examination were to be carried out already within the framework of Article 85, paragraph 1 [now Article 81, paragraph 1], of the Treaty" (judgment of the Court of October 23, 2003, Van den Bergh Foods, T-65/98, Rec. p. II-2641, point 107).</w:t>
      </w:r>
    </w:p>
    <w:p>
      <w:r>
        <w:t>312. At the stage of applying Article 81, paragraph 1, EC, it is up to the companies involved to demonstrate that a restriction is directly linked and objectively necessary for the realization of a main operation (judgment M6 e.a./Commission, cited above, point 122).</w:t>
      </w:r>
    </w:p>
    <w:p>
      <w:r>
        <w:t>b) Assessment in this case</w:t>
      </w:r>
    </w:p>
    <w:p>
      <w:r>
        <w:t>313. While it is undeniable that the CEIC was directly linked to the establishment of the EIC, a dematerialized check exchange system, which is itself neutral in terms of competition law, the parties do not demonstrate that this commission was objectively necessary for the adoption of the new system, in the sense of the aforementioned community case law.</w:t>
      </w:r>
    </w:p>
    <w:p>
      <w:r>
        <w:t>314. Indeed, the main operation that must be assessed in this case to examine the accessory nature of the CEIC is the dematerialization of interbank compensation.</w:t>
      </w:r>
    </w:p>
    <w:p>
      <w:r>
        <w:rPr>
          <w:b/>
        </w:rPr>
        <w:t>[Pages 64–66]</w:t>
      </w:r>
    </w:p>
    <w:p>
      <w:r>
        <w:t>des chèques. However, the EIC could be implemented without accelerating interbank exchanges, and therefore, without altering cash flow balances, since the determination of the interbank settlement date was at the banks' discretion. The gap between the check exchange date and the interbank settlement date was jointly established by the banks within the framework of the agreement of February 3, 2000, based on the choice of the End-of-Day Exchange Time (HAJE). The solution adopted of a HAJE at 6 p.m. and an interbank settlement delay of D+1 was not technically imposed by the dematerialization of exchanges.</w:t>
      </w:r>
    </w:p>
    <w:p>
      <w:r>
        <w:t>315. The report of the restricted working group of the CIR specifies that the CEIC was proposed with the objective of "compensating for the changes in interbank cash flow that could result from the choice of the HAJE and the gap between exchange and settlement" (summary of the report of June 8, 1999, reference 1374). It follows from the various working documents of the CIR that, as noted by the Banques Populaires, the banks considered an extended interbank settlement delay as an alternative solution to the establishment of the CEIC (see point 86).</w:t>
      </w:r>
    </w:p>
    <w:p>
      <w:r>
        <w:t>316. If the parties argue that an interbank settlement delay of D+2 was hardly acceptable, particularly in relation to their clients, since, unlike the chosen solution providing for the creation of the CEIC, it would have deprived users of the check system of the acceleration technically permitted by the dematerialization of exchanges, such an argument must be examined in light of the provisions of Article 81, paragraph 3, EC. Indeed, in accordance with the aforementioned community case law, it is within the framework of these provisions that the balancing of efficiency gains, such as, in this case, the acceleration of interbank exchanges, and the restrictive effects of a practice must be carried out to determine whether the latter can benefit from an exemption.</w:t>
      </w:r>
    </w:p>
    <w:p>
      <w:r>
        <w:t>317. Under these conditions, the CEIC was not objectively necessary for the realization of the main operation that constituted the dematerialization of interbank check compensation. Therefore, it cannot be considered as an ancillary restriction to this operation and must be subject to a separate analysis under Article 81, paragraph 3, EC.</w:t>
      </w:r>
    </w:p>
    <w:p>
      <w:r>
        <w:t>318. Similarly, regarding the CSC, the parties do not demonstrate that these commissions were objectively necessary for the adoption of the new system, in the sense of the aforementioned community case law.</w:t>
      </w:r>
    </w:p>
    <w:p>
      <w:r>
        <w:t>319. In its aforementioned GSA decision of October 21, 1999, the European Commission examined the compliance of multilateral interchange commissions intended to compensate for the services provided by the debtor bank to the creditor bank within the framework of the Dutch structured communication transfer system in light of the provisions of Article 81, paragraph 1, EC: "From a practical point of view, it is necessary for the banks involved in the operation to agree on the possible distribution of costs, that is to say, to retain or not the principle of compensation and, if so, to set its level. Given the inherent characteristics of a payment system such as that of structured communication transfers, negotiations on this matter must obviously be conducted beforehand, that is to say, before the payment system is actually used by the banks for processing payment transactions carried out by their clients. (...) If the banks decide to establish an interbank commission, the agreement on the level of the commission can in principle be bilateral or multilateral. In this case, the banks decided to establish a uniform multilateral commission, although it became a ceiling in 1992. It can also be envisaged that a number of banks take the initiative by agreeing on bilateral commissions and that other banks seek to join one of them, so that this series of bilateral commissions also applies to them. Banks could also enter into multilateral agreements on a formula for calculating the interbank commission based on parameters varying from one bank to another. (...) Practice shows that bilateral negotiations on interbank commissions for the electronic processing of structured communication transfers are technically possible. Thus, before the GSA agreement came into force, there were bilateral agreements between several major banks on the compensation of these costs" (recitals 47 to 49).</w:t>
      </w:r>
    </w:p>
    <w:p>
      <w:r>
        <w:t>320. A similar analysis can be followed in the present case regarding the CSC adopted by the banks. The remuneration for the services rendered by the presenting banks to the drawee banks within a dematerialized compensation system, involving the physical "blocking" of checks at the presenting bank followed by the exchange of check images, could, in principle, be subject to bilateral negotiations. Indeed, nothing indicates that bilateral negotiations on interbank commissions for processing transactions related to the EIC would be technically impossible. Furthermore, if the parties argue that the principle of bilateral negotiations faced the high number of actors involved, and that these would therefore have resulted in significant transaction costs, such an argument must be examined in light of the provisions of Article 81, paragraph 3, EC. Indeed, it is within the framework of these provisions that the balancing of pro-competitive effects, such as transaction cost savings, and anti-competitive effects of a restrictive practice must be carried out to determine whether the latter can benefit from an exemption.</w:t>
      </w:r>
    </w:p>
    <w:p>
      <w:r>
        <w:t>321. The banks could also agree on the calculation methods for each commission based on parameters varying from one bank to another. If the parties argue that such an agreement was impossible without exchanging sensitive information between banks, in violation of competition law rules, this argument must be dismissed since the development of a theoretical calculation formula did not require the exchange of individual data between banks.</w:t>
      </w:r>
    </w:p>
    <w:p>
      <w:r>
        <w:t>322. Under these conditions, the CSC were not objectively necessary for the realization of the main operation that constituted the dematerialization of interbank check compensation. Therefore, they cannot be considered as an ancillary restriction to this operation and must be subject to a separate analysis under Article 81, paragraph 3, EC.</w:t>
      </w:r>
    </w:p>
    <w:p>
      <w:r>
        <w:t>3. ON THE OBJECT OF THE PRACTICES</w:t>
        <w:br/>
        <w:t>a) The parties' arguments</w:t>
        <w:br/>
        <w:t>Regarding the CEIC</w:t>
      </w:r>
    </w:p>
    <w:p>
      <w:r>
        <w:t>323. Firstly, the parties recall that it follows from the decision-making practice of national and community competition authorities that multilateral interbank commissions are not necessarily and automatically classified as restrictions of competition by object. The Banques Populaires, Société Générale, Crédit Agricole, and LCL thus consider that the CEIC does not have an anti-competitive object by nature, since it does not constitute a price-fixing agreement, the mere fact that it may have the effect of altering the competitive situation of banks being insufficient to characterize its anti-competitive nature. Crédit du Nord emphasizes that the anti-competitive object of an interbank commission has never been formally recognized by community authorities.</w:t>
      </w:r>
    </w:p>
    <w:p>
      <w:r>
        <w:t>324. The Banque de France considers that, given the state of decision-making practice, it is not possible to consider that the CEIC has an anti-competitive object by nature, unless it is demonstrated that it presents a particular danger.</w:t>
      </w:r>
    </w:p>
    <w:p>
      <w:r>
        <w:t>325. The parties then argue that the CEIC is a purely interbank commission that is not intended to be passed on to the prices charged to presenting clients. The Banques Populaires and Crédit du Nord emphasize in this regard that the creation of the CEIC did not automatically affect the pricing charged to presenting clients, each bank continuing to autonomously determine the overall level of profitability desired in its relationship with clients.</w:t>
      </w:r>
    </w:p>
    <w:p>
      <w:r>
        <w:t>326. The parties thus argue that they did not pursue any anti-competitive objective and specify in this regard that the CEIC was not intended to compensate for a service rendered by the drawee banks to the presenting banks, but to compensate for the sudden loss of the main resource of banks predominantly drawing from checks covering the costs of making checks available, whereas the EIC resulted in the transfer of float to the benefit of predominantly presenting banks. La Banque Postale thus considers that the competitive situation of banks was not altered by the CEIC, since the establishment of this commission compensated for a transfer of income from predominantly drawee banks to predominantly presenting banks. Crédit Agricole and LCL emphasize that this compensation was intended to be partial and temporary.</w:t>
      </w:r>
    </w:p>
    <w:p>
      <w:r>
        <w:t>327. Some parties, notably La Banque Postale, specifically reproach the rapporteurs for not taking into account the free nature of checks, as it represents a particularly significant financial burden for banks serving modest clients, and the partial compensation that these banks legitimately derived from the availability of funds in current accounts. The CEIC thus ensured that the transition to the EIC would not increase the burden of the free nature of checks on banks serving modest clients.</w:t>
      </w:r>
    </w:p>
    <w:p>
      <w:r>
        <w:t>328. The parties further argue that the object of an agreement must be analyzed in light of the economic and legal context in which it is situated. They believe that, in this case, the particular context of the banking sector and the constraints on its members when they must implement and manage payment systems should have been taken into account. The Banque de France emphasizes in this regard that any modification of the check compensation system required the agreement of all banks, an agreement that necessarily had to be within a multilateral framework, as establishing bilateral relationships between the hundreds of banks active in France is materially unmanageable and hardly compatible with the very notion of a payment system.</w:t>
      </w:r>
    </w:p>
    <w:p>
      <w:r>
        <w:t>329. Finally, the parties argue that the objective also pursued by the establishment of the CEIC was not to regulate the use of different means of payment, but only to prevent the new check processing system from favoring a means of payment considered more expensive and less secure compared to other more modern means of payment such as the interbank payment title (TIP), the transfer, or the bank card. They therefore consider that such an objective cannot be classified as anti-competitive.</w:t>
      </w:r>
    </w:p>
    <w:p>
      <w:r>
        <w:rPr>
          <w:b/>
        </w:rPr>
        <w:t>[Pages 67–69]</w:t>
      </w:r>
    </w:p>
    <w:p>
      <w:r>
        <w:t>Regarding the CSC</w:t>
      </w:r>
    </w:p>
    <w:p>
      <w:r>
        <w:t>330. The parties argue that the CSC were created solely to compensate the services provided by the issuing banks to the drawn banks due to the implementation of the EIC. They believe that the CSC do not inherently have an anti-competitive purpose, as there is no evidence to establish that they were intended to be passed on to customers.</w:t>
      </w:r>
    </w:p>
    <w:p>
      <w:r>
        <w:t>331. Furthermore, the parties contend that only the conclusion of a multilateral agreement was feasible, as establishing bilateral relationships between the hundreds of banks operating in France is practically unmanageable.</w:t>
      </w:r>
    </w:p>
    <w:p>
      <w:r>
        <w:t>b) Applicable law</w:t>
      </w:r>
    </w:p>
    <w:p>
      <w:r>
        <w:t>332. According to Article L. 420-1 of the Commercial Code, agreements that have the object or may have the effect of preventing, restricting, or distorting competition in a market are prohibited, particularly when they aim to "obstruct the setting of prices by the free play of the market by artificially promoting their increase or decrease." Under Article 81, paragraph 1, EC, agreements between companies that are likely to affect trade between Member States and that have the object or effect of preventing, restricting, or distorting competition within the common market are incompatible with the common market and prohibited, particularly those that consist of "directly or indirectly fixing purchase or selling prices or other trading conditions."</w:t>
      </w:r>
    </w:p>
    <w:p>
      <w:r>
        <w:t>Anti-competitive practices by object</w:t>
      </w:r>
    </w:p>
    <w:p>
      <w:r>
        <w:t>333. It follows from the very terms of Article L. 420-1 of the Commercial Code and Article 81 EC that the anti-competitive object and effect of a practice are alternative conditions for assessing whether it can be sanctioned under these provisions. It is therefore not necessary to examine the effects of an agreement as long as its anti-competitive object is established (see the judgments of the Court of Justice of June 4, 2009, T-Mobile Netherlands e.a., C-8/08, paragraphs 28 and 30, and of October 6, 2009, GlaxoSmithKline Services/Commission, C-501/06 P, C-513/06 P, C-515/06 P and C-519/06 P, not yet published in the Reports, hereinafter the "GlaxoSmithKline judgment," paragraph 55; see also the judgment of the Paris Court of Appeal of June 15, 2010, Veolia Transports).</w:t>
      </w:r>
    </w:p>
    <w:p>
      <w:r>
        <w:t>334. Furthermore, according to consistent Community case law, to assess the anti-competitive nature of an agreement, it is necessary to focus on the content of its provisions, the objectives it aims to achieve, as well as the economic and legal context in which it is situated (see, for example, the GlaxoSmithKline judgment, cited above, paragraph 58, and the Court's judgment of November 20, 2008, Beef Industry Development Society and Barry Brothers, C-209/07, hereinafter the "BIDS judgment," paragraphs 16 and 21). The subjective intentions of the parties may be taken into account as a complementary factor, but they cannot be decisive (see the judgments of the Court IAZ International Belgium e.a./Commission, 96/82 to 102/82, 104/82, 105/82, 108/82 and 110/82, Rec. p. 3369, paragraphs 23 to 25, General Motors/Commission, C-551/03 P, Rec. P. I-3173, paragraphs 77 and 78, and T-Mobile cited above, paragraph 27).</w:t>
      </w:r>
    </w:p>
    <w:p>
      <w:r>
        <w:t>Decision-making practice regarding interbank commissions</w:t>
      </w:r>
    </w:p>
    <w:p>
      <w:r>
        <w:t>335. In its communication regarding the application of Community competition rules to cross-border payment systems (OJEC 1995, C 251, p. 3), the Commission addresses the issue of price competition and more specifically that of interbank commissions. It considers that "a bilateral interbank commission agreement normally does not fall under Article 85 paragraph 1 [now Article 81, paragraph 1, EC]." In contrast, it believes that "any agreement on a multilateral interbank commission is a restriction of competition under Article 85 paragraph 1, as it significantly limits the freedom of banks to individually establish their pricing policy." The Commission further emphasizes that this restriction may also distort the behavior of banks towards their customers (paragraph 40).</w:t>
      </w:r>
    </w:p>
    <w:p>
      <w:r>
        <w:t>336. It is in light of this criterion of limiting the pricing freedom of banks that various types of multilateral interbank commissions have been classified as restrictions of competition by the European Commission and the Competition Council in their decision-making practice.</w:t>
      </w:r>
    </w:p>
    <w:p>
      <w:r>
        <w:t>337. Firstly, these are interbank commissions aimed at distributing the common operating costs of a payment system.</w:t>
      </w:r>
    </w:p>
    <w:p>
      <w:r>
        <w:t>338. In its decision No. 88-D-37 of October 15, 1988, GIE CB, the Competition Council analyzed the interbank commission set by the Economic Interest Grouping of bank cards "CB" established in 1984 among French institutions issuing bank cards, paid by merchant banks to cardholder banks at each transaction made by bank card. This commission was intended to compensate for the risk related to the payment guarantee provided by the cardholder's bank and to cover the cost of collective security measures as well as the costs inherent in processing the transaction.</w:t>
      </w:r>
    </w:p>
    <w:p>
      <w:r>
        <w:t>339. The Council concluded that "the determination by the grouping of the interchange commission, which is supposed to cover, in particular, the cost of the payment guarantee borne by the cardholder banks, limits the negotiating capacity of the members of the grouping with respect to their merchant clientele; indeed, merchant banks are incentivized to apply commission rates to their clientele based on the amounts they will have to pay to cardholder banks, amounts determined by the grouping and uniformly applicable to all these banks regardless of each bank's particular situation."</w:t>
      </w:r>
    </w:p>
    <w:p>
      <w:r>
        <w:t>340. This interchange commission was therefore considered to be capable of distorting the free play of competition. Although the decision does not specify it, the reasoning followed indicates that the practice was classified as anti-competitive by reason of its object, as the effects of the interbank commission were not analyzed.</w:t>
      </w:r>
    </w:p>
    <w:p>
      <w:r>
        <w:t>341. In its decision of September 8, 1999, GSA, cited above, the European Commission examined a commission paid by the beneficiary's bank (creditor bank) to the client's bank (debtor bank) to partially cover the costs related to processing transfer forms by the debtor bank.</w:t>
      </w:r>
    </w:p>
    <w:p>
      <w:r>
        <w:t>342. The Commission applied the principles set out in its 1995 communication by considering that the multilateral interbank commission in question had the object of restricting competition within the meaning of Article 81, paragraph 1, EC, as it limited the freedom of the banks party to the agreement to set the level of any commission for processing transfers with structured communication in the context of bilateral negotiations. The Commission emphasized that the practice showed that bilateral negotiations on interbank commissions for the electronic processing of transfers with structured communication were technically possible and had been implemented in the past. Furthermore, it considered that the interbank commission had a restrictive effect on competition as it effectively served as a "floor" for establishing the rates applicable to customers.</w:t>
      </w:r>
    </w:p>
    <w:p>
      <w:r>
        <w:t>343. Next, these are multilateral interbank commissions aimed at optimizing the functioning of different payment card systems.</w:t>
      </w:r>
    </w:p>
    <w:p>
      <w:r>
        <w:t>344. In its decision of July 24, 2002, Visa, cited above, the Commission examined a commission paid in the absence of a bilateral agreement by the acquiring bank to the issuing bank for each transaction by Visa payment card, the objective of which was to optimize the functioning of the Visa payment card system by correcting the imbalance between the costs related to issuance and acquisition and the revenues generated respectively by cardholders and merchants.</w:t>
      </w:r>
    </w:p>
    <w:p>
      <w:r>
        <w:t>345. The Commission considered that the agreement on the multilateral interchange commission did not "have the object of restricting competition since, within the framework of a four-party payment system such as that of Visa, an agreement of this type aims to increase the stability and efficiency of the functioning of said system (...) and, indirectly, to strengthen competition between payment systems, thereby allowing four-party systems to compete more effectively with three-party systems" (recital 69). However, the Commission identified the existence of two types of restriction by effect: a restriction of competition between payment systems (Visa, Mastercard...) and a restriction of competition that occurred among issuing and acquiring banks.</w:t>
      </w:r>
    </w:p>
    <w:p>
      <w:r>
        <w:t>346. In its decision of December 19, 2007, Mastercard, cited above, the Commission did not resolve the question of whether the multilateral interchange commissions in question were restrictive of competition by object, as it was clearly established that they had anti-competitive effects. However, the Commission did not exclude the existence of a restriction by object, as the CMI had the consequence of price fixing: "The fact that CMIs generally determine a floor level for the prices that merchants must pay for the acceptance of payment cards is (...) an indication that Mastercard's CMIs probably have, by their nature, the potential to fix prices" (recital 405). The existence of a floor price was not contested in this case by MasterCard, which stated that the CMIs "constituted a means of 'correcting' prices that would otherwise be set on either side of its system by 'independent competitive relationships between issuers and acquirers'" (recital 406).</w:t>
      </w:r>
    </w:p>
    <w:p>
      <w:r>
        <w:t>347. Finally, in the context of establishing a unified payment system in Europe (SEPA), the Commission analyzed the multilateral interchange commissions in the direct debit markets. It noted that these were similar to the commissions charged in the payment card markets such as the CMIs that led to the Mastercard decision. Without prejudice to a future case-by-case assessment of the CMIs applied in the context of SEPA direct debits, the Commission stated: "As CMIs typically set a floor level below the rates that banks charge businesses, they constitute a restriction of competition by object as, by their very nature, they are likely to restrict competition. They may also constitute a restriction by effect" (paragraph 12). It also emphasized that: "[f]rom the perspective of assessment under competition law, the relevant question is whether a specific multilateral interchange commission can be exempted under Article 81, paragraph 3, of the EC Treaty" (paragraph 14).</w:t>
      </w:r>
    </w:p>
    <w:p>
      <w:r>
        <w:rPr>
          <w:b/>
        </w:rPr>
        <w:t>[Pages 70–72]</w:t>
      </w:r>
    </w:p>
    <w:p>
      <w:r>
        <w:t>348. It follows from the above that, on the one hand, national and community competition authorities have never ruled on a multilateral interbank commission that has been alleged to be of a "compensatory" nature (as the parties argue regarding the CEIC) nor on commissions intended to remunerate a service rendered by one category of banks to another, even if such commissions can, with respect to certain of their characteristics, be assimilated to commissions aimed at distributing the operating costs of payment systems. On the other hand, while the Commission did not specifically base its declaration of a multilateral interbank commission being contrary to the provisions of the EC Treaty on its anti-competitive object, the reasoning it followed in certain of the aforementioned cases is by no means exclusive of such a qualification.</w:t>
      </w:r>
    </w:p>
    <w:p>
      <w:r>
        <w:t>c) The economic and legal context</w:t>
      </w:r>
    </w:p>
    <w:p>
      <w:r>
        <w:t>349. Regarding the necessity to take into account the economic and legal context in which the agreements are situated, Advocate General Ms. Trstenjak specified in her conclusions under the aforementioned BIDS judgment: "This rule must be taken seriously, but it would be erroneous to understand it as an open door to all elements that could favor the compatibility of an agreement with the common market. In reality, it follows from the structure of Article 81 EC that the elements of legal and economic context that are taken into account under Article 81, paragraph 1, EC are only those that are capable of casting doubt on the existence of a restriction of competition" (point 48). The Court of Justice thus examines whether the legal or economic context is such as to exclude any possibility of effective competition (see, in this sense, the judgments of July 8, 1999, Montecatini/Commission, C-235/92 P, point 127, Van Landewyck e.a./Commission, 209/78 to 215/78 and 218/78, Rec. p. 3125, point 153, and Stichting Sigarettenindustrie e.a./Commission, 240/82 to 242/82, 261/82, 262/82, 268/82 and 269/82, Rec. p. 3831, points 24 to 29).</w:t>
      </w:r>
    </w:p>
    <w:p>
      <w:r>
        <w:t>The necessary coordination of banks for the organization of payment systems</w:t>
      </w:r>
    </w:p>
    <w:p>
      <w:r>
        <w:t>350. A payment system requires a certain form of coordination among its members. Indeed, creditors and debtors must be able to use a payment system regardless of the bank with which they hold an account, which implies that any bank must accept payment orders given by customers of any other bank. Thus, the conclusion of certain agreements by all banks may prove essential for the establishment and functioning of a payment system. This includes technical agreements aimed at ensuring the interoperability of the system by defining standardized operations common to all participating banks as well as those concerning the procedural aspects of transaction processing.</w:t>
      </w:r>
    </w:p>
    <w:p>
      <w:r>
        <w:t>351. Such agreements are most often concluded within a multilateral framework, as the European Commission recalled in its aforementioned GSA decision: "From a technical point of view, a uniform system of structured communication transfers, that is to say, a payment system that creditors and debtors can use regardless of the bank where they hold an account, can only exist if it is based on a well-established multilateral foundation. Thus, the conclusion of collective agreements concerning the technical specifications and procedural aspects of transaction processing is necessary for the proper functioning of the system" (recital 46).</w:t>
      </w:r>
    </w:p>
    <w:p>
      <w:r>
        <w:t>352. While they limit the freedom of each of the actors taken individually, these agreements do not, in principle, fall under Article 81, paragraph 1, EC or Article L. 420-1 of the Commercial Code (see, in this regard, point 32 of the Commission's 1995 communication on cross-border transfer systems). This is not the case, however, for agreements concerning multilateral interbank commissions, as the Commission has repeatedly pointed out (see, in particular, point 40 of the 1995 communication and recital 48 of the aforementioned GSA decision). Indeed, the universality of a means of payment does not imply that all banks enter into tariff agreements: each bank can indeed remain free to define its pricing policy individually in the market area in which it is active. Regarding the check sector, it operated until 2002 according to a pure interoperability scheme, without direct tariff relationships between banks.</w:t>
      </w:r>
    </w:p>
    <w:p>
      <w:r>
        <w:t>The free issuance of check forms</w:t>
      </w:r>
    </w:p>
    <w:p>
      <w:r>
        <w:t>353. Article L. 131-71 of the Monetary and Financial Code states that "when issued, check forms are made available free of charge to the account holder." This free issuance for issuers represents a cost for the banks drawn, particularly in terms of printing, pre-issuance control, issuance of check forms, and pre-payment control. However, Article L. 312-2 of the Monetary and Financial Code allows banks to use sight deposits made by their clients, which could not be remunerated until 2004; the placement of these sums allows them to compensate, at least partially, for the costs resulting from the free issuance of check forms.</w:t>
      </w:r>
    </w:p>
    <w:p>
      <w:r>
        <w:t>354. Furthermore, it is not excluded that the issuance of checks is also financed, indirectly, through the remuneration paid upon the delivery of checks (billing per unit or according to the value of the checks delivered, float and/or transaction commission paid by businesses). Thus, through the pooling of check costs and, more broadly, through the overall banking offer whose financing is partly based on a mechanism of cross-subsidies, it can be considered that in practice, customers pay for the check forms that are issued to them as well as their use, even if it is not a unit payment.</w:t>
      </w:r>
    </w:p>
    <w:p>
      <w:r>
        <w:t>355. Moreover, it should be noted that the transition to the EIC has also alleviated certain administrative burdens on the drawn banks, with the elimination, for the majority of exchanged checks, of the transport costs of checks drawn on them from the clearinghouse, and the simplification of the return processing of checks (ending the re-reading of the check by the drawn bank, for example). These administrative savings thus compensate at least partially for the cash flow losses suffered by the drawn banks resulting from the acceleration of interbank check exchanges.</w:t>
      </w:r>
    </w:p>
    <w:p>
      <w:r>
        <w:t>356. Finally, it should be noted that the free issuance of checks and the financial burden that results for the drawn banks (particularly the banks of modest clients) were not mentioned as such in the reports of the CIR to justify the establishment of the CEIC. Indeed, it follows from these documents that the discussions among the members of the CIR focused on the cost of processing checks but not on the free availability of checks to current account holders.</w:t>
      </w:r>
    </w:p>
    <w:p>
      <w:r>
        <w:t>357. In conclusion, banks were not at all compelled, due to the free issuance of checks, to establish interbank commissions to remunerate the services related to the issuance of checks.</w:t>
      </w:r>
    </w:p>
    <w:p>
      <w:r>
        <w:t>d) The check image exchange commission (CEIC)</w:t>
      </w:r>
    </w:p>
    <w:p>
      <w:r>
        <w:t>358. This is a multilateral interbank commission of 4.3 euro cents paid by the presenting bank to the drawn bank for each interbank check presented.</w:t>
      </w:r>
    </w:p>
    <w:p>
      <w:r>
        <w:t>359. Although the minutes of the CIR meeting of February 3, 2000, indicated that the amount of the CEIC was a maximum amount and that lower amounts could be charged, it does not appear from the elements in the file that banks have used this possibility to charge the CEIC at a lower amount. The maximum amount determined by the CIR has thus been systematically applied, and the CEIC must be considered as a fixed (or uniform) interbank commission.</w:t>
      </w:r>
    </w:p>
    <w:p>
      <w:r>
        <w:t>360. The CEIC was created, according to the parties to the agreement, to compensate for the alleged cash flow losses suffered by the predominantly drawn banks due to the acceleration of interbank check settlement resulting from the transition to the EIC. As the parties themselves point out, the CEIC therefore does not constitute a remuneration that presenting banks pay to drawn banks in exchange for a service rendered, but a transfer of income from one bank to another in order to share the financial consequences of the acceleration of check exchanges made possible by the dematerialization of the system.</w:t>
      </w:r>
    </w:p>
    <w:p>
      <w:r>
        <w:t>361. Regarding, first of all, the parties' argument that they did not pursue any anti-competitive objective, it should be noted that, even assuming it is established that the parties acted without the intention of restricting competition, but in order to remedy the effects of the transition to the EIC on the cash flow of predominantly drawn banks, such considerations are not relevant for the purposes of applying Article 81 EC and Article L. 420-1 of the Commercial Code. Indeed, the notion of an anti-competitive agreement by object applies regardless of whether the parties to the agreement intended, or were even aware, of violating competition rules. Indeed, proof of the intention to restrict competition is not a necessary element to determine whether an agreement has as its object such a restriction (judgment of the Court of February 1, 1978, Miller International Schallplatten/Commission, 19/77, Rec. p. 131, point 18; judgment of the Court of First Instance of July 9, 2009, Peugeot and Peugeot Nederland/Commission, T-450/05, Rec. p. II-2533, point 55 and case law cited above, point 334).</w:t>
      </w:r>
    </w:p>
    <w:p>
      <w:r>
        <w:t>362. Furthermore, it should be recalled that an agreement can be considered as having a restrictive object even if it does not have as its sole objective to restrict competition, but also pursues other legitimate objectives (BIDS judgment, cited above, point 21, and judgment of the Court of April 6, 2006, General Motors/Commission, cited above, point 64). In the BIDS judgment, the Court thus held that the objectives of streamlining the beef sector and remedying the effects of the sectoral crisis pursued by an agreement concerning the reduction of capacities of meat processing companies were not relevant for assessing the...</w:t>
      </w:r>
    </w:p>
    <w:p>
      <w:r>
        <w:rPr>
          <w:b/>
        </w:rPr>
        <w:t>[Pages 73–75]</w:t>
      </w:r>
    </w:p>
    <w:p>
      <w:r>
        <w:t>compliance of this agreement with the provisions of Article 81, paragraph 1, EC. The Court clarified that such objectives could only be taken into consideration, if applicable, for the purpose of obtaining an exemption under the provisions of Article 81, paragraph 3, EC.</w:t>
      </w:r>
    </w:p>
    <w:p>
      <w:r>
        <w:t>363. Therefore, since the agreement in question had a restrictive object on competition as demonstrated below, the arguments aimed at demonstrating that it pursued a pro-competitive objective will not be examined in light of Article 81, paragraph 1, EC and Article L. 420-1 of the Commercial Code, but in the light of Article 81, paragraph 3, EC and Article L. 420-4 of the Commercial Code.</w:t>
      </w:r>
    </w:p>
    <w:p>
      <w:r>
        <w:t>364. Next, regarding the argument put forward by the Banque de France that the CEIC cannot be considered to have an anti-competitive object by nature, unless it is demonstrated that it presents a particular danger, it should be recalled that the examination of the anti-competitive nature of an agreement is carried out concretely, taking into account the economic and legal context in which it is situated (see point 334 above). To constitute an infringement by object, the practice in question must allow, based on a set of objective legal or factual elements, to envisage with a sufficient degree of probability that it could exert a direct or indirect, actual or potential influence on competition (see the decision of the Competition Council No. 09-D-10 of February 27, 2009, concerning practices implemented in the maritime transport sector between Corsica and the mainland, point 172). Thus, to be classified as a restriction of competition by object, it is sufficient that an agreement is likely to produce negative effects on the functioning of competition. This is the case of an agreement that has the obvious consequence of price-fixing (MasterCard decision, cited above, recital 403). The question of whether and to what extent such effects actually occur can only be taken into account when determining the amount of the fine (see, by analogy, the judgment T-Mobile Netherlands e.a., cited above, point 31, and the decision of the Competition Authority No. 09-D-31 of September 30, 2009, concerning practices implemented in the management and marketing of the sports rights of the French Football Federation, point 335).</w:t>
      </w:r>
    </w:p>
    <w:p>
      <w:r>
        <w:t>365. Having made these reminders, it is necessary to determine whether the CEIC has an anti-competitive object. To this end, the competitive analysis will first focus on the market for check deposits, then on that of check issuance. Finally, the objective of regulating the use of different means of payment as it appears in the discussions prior to the agreement will be examined.</w:t>
      </w:r>
    </w:p>
    <w:p>
      <w:r>
        <w:t>Restrictions on competition in the check deposit market</w:t>
      </w:r>
    </w:p>
    <w:p>
      <w:r>
        <w:t>The artificial increase in the cost of processing check deposits for depositing banks</w:t>
      </w:r>
    </w:p>
    <w:p>
      <w:r>
        <w:t>366. In the check deposit market, the creation of the CEIC introduced a uniform cost element for depositing banks, which did not exist in the previous interbank check clearing system. Depositing banks thus suffered an artificial increase in their operating costs affecting the balance sheet of each deposit operation.</w:t>
      </w:r>
    </w:p>
    <w:p>
      <w:r>
        <w:t>367. However, banks, like any business, must necessarily cover their costs, so it is reasonable to presume that such an increase was likely to produce two types of effects: the limitation of the supply of check deposits, on the one hand, and the increase in final prices, on the other.</w:t>
      </w:r>
    </w:p>
    <w:p>
      <w:r>
        <w:t>The potential limitation of supply in the check deposit market</w:t>
      </w:r>
    </w:p>
    <w:p>
      <w:r>
        <w:t>368. In the event of a total or partial non-passing on of the CEIC to the prices charged by depositing banks to their clients, the resulting increase in the unit cost of processing checks for these banks and, consequently, the lower profitability, or even a deficit in the check deposit activity, are likely to have led to a reduction in supply in the check deposit market. Indeed, it is quite conceivable that a bank would prefer to refrain from providing a service if, at the very least, the price offered to clients does not cover the amount of the interbank commission affecting this service and it becomes unprofitable.</w:t>
      </w:r>
    </w:p>
    <w:p>
      <w:r>
        <w:t>The potential influence on final prices</w:t>
      </w:r>
    </w:p>
    <w:p>
      <w:r>
        <w:t>369. As a preliminary point, it should be noted that the wording of Article 81, paragraph 1, EC does not allow for the consideration that only agreements having a direct effect on final prices would be prohibited. On the contrary, it follows from Article 81, paragraph 1, (a), EC that an agreement can have an anti-competitive object if it consists of "directly or indirectly fixing purchase or selling prices or other trading conditions." As the Court of Justice has recalled, Article 81 EC aims to protect not only the direct interests of competitors or consumers but also the structure of the market and, thereby, competition as such. Therefore, the finding of the anti-competitive object of an agreement cannot be conditional on proof that the agreement has disadvantages for final consumers (GlaxoSmithKline judgment, cited above, points 63 and 64; see also, by analogy, the T-Mobile Netherlands e.a. judgment, cited above, points 37 to 39).</w:t>
      </w:r>
    </w:p>
    <w:p>
      <w:r>
        <w:t>370. Unlike the MasterCard case, in which MasterCard did not contest the fact that the MIFs generally set a floor level for fees charged to merchants (see point 346 above), the parties involved in this case contest the likelihood of the passing on of the CEIC to final prices in the check deposit market. Certainly, it does not appear from the minutes of the CIR that the depositing banks agreed to pass on the CEIC to their clients. However, as recalled above, interbank agreements such as interbank commissions can produce effects outside the interbank sphere, particularly on the formation of final prices. Thus, in the 1999 GSA decision, the Commission noted that "there is nothing to suggest that banks agreed to systematically pass on the interbank commission. The GSA agreement expressly leaves them free to decide autonomously whether or not to pass on the commission. However, when banks individually decide to do so, it must be seen as a direct consequence of the existence of the GSA agreement, given that it imposes an economic cost on the creditor bank that it did not bear before. In the absence of an interbank commission, there would be nothing to pass on..." (recital 53).</w:t>
      </w:r>
    </w:p>
    <w:p>
      <w:r>
        <w:t>371. In this case, to the extent that the CEIC increases the cost of providing the check deposit service, it is likely to have an impact on the bank-client relationship and lead to an increase in the prices charged by depositing banks to their clients. The extent of this possible passing on depends on many factors, including the commercial policy of each depositing bank, the bargaining power of clients, and the intensity of competition. The CEIC is therefore likely to be passed on partially or even fully to final prices.</w:t>
      </w:r>
    </w:p>
    <w:p>
      <w:r>
        <w:t>372. Several documents submitted to the file further attest that some banks considered that the CEIC was indeed intended to be passed on to depositing clients. This first includes a note on "check images Arguments and questions answers" provided to members of the restricted working group of the CIR following the meeting of May 10, 2000, indicating regarding the additional costs incurred by the banking sector due to the establishment of the CEIC: "pass on to the depositing client..." (reference 4264) as well as the minutes of an internal meeting at Crédit Mutuel dated January 10, 2001, which specifies that "[e]ven though it is intended to be passed on to the depositor, it weighs on the operating account of the depositing banker" (reference 4263). Finally, during its hearing by investigators on July 12, 2005, Crédit Agricole stated: "The position of CA regarding the passing on of the [CEIC] is to say that as long as clients benefit from better deadlines and CA bears an additional charge, it is normal for this charge to be passed on, but it is up to the regional banks to decide whether or not to pass on the interbank commission" (reference 4264).</w:t>
      </w:r>
    </w:p>
    <w:p>
      <w:r>
        <w:t>373. Furthermore, it should be recalled that the depositing bank can charge for checks deposited individually or according to their value. But it can also choose not to charge them directly and to remunerate its check deposit service as part of its overall banking service offering through a system of cross-subsidies. Given this mutualization of costs across all banking services, the partial or total passing on of the CEIC to final prices appears as a potential consequence of the creation of a new charge that was not previously borne by banks.</w:t>
      </w:r>
    </w:p>
    <w:p>
      <w:r>
        <w:t>374. Therefore, it must be considered that, due to its potential influence on the level of final prices, the CEIC has, by nature, the capacity to restrict price competition, even in the absence of a price floor in the check deposit market.</w:t>
      </w:r>
    </w:p>
    <w:p>
      <w:r>
        <w:t>Restrictions on competition in the check issuance market</w:t>
      </w:r>
    </w:p>
    <w:p>
      <w:r>
        <w:t>375. In the check issuance market, the CEIC generated an artificial increase in revenue for the drawee banks, as they received revenue that was not allocated to them by the market, but by an interbank agreement, in order to compensate for the cash flow losses they believed they were suffering due to the acceleration of interbank settlement of checks.</w:t>
      </w:r>
    </w:p>
    <w:p>
      <w:r>
        <w:t>376. In this regard, the parties argue that the CEIC is likely to have been passed on by the drawee banks in the form of a decrease in the prices of banking services other than check issuance. However, such a claim contradicts the objective pursued by the members of the CIR as invoked by the parties in the previous point. In any case, this potential effect of the CEIC demonstrates its influence on the formation of final prices, in violation of the principle of free price formation through market forces.</w:t>
      </w:r>
    </w:p>
    <w:p>
      <w:r>
        <w:t>377. The ability of the CEIC to influence the conditions of competition on both sides of the market and particularly on final prices is also confirmed by the analysis presented by the parties' own counsel: "such a commission modifies the marginal cost of the activity of issuing and depositing checks: all else being equal, a commission paid by depositing banks to drawee banks increases the cost of providing the check deposit service and decreases the cost of providing the issuance service. An interbank commission, to the extent that it increases costs on one side and decreases them on the other side, is therefore likely to lead to both an increase in prices on one side of the market and a decrease in prices on the other side of the market" (study by the firms LECG and MAPP dated May 26, 2008, submitted by the parties in response to the statement of objections, § 2.7., reference 5988).</w:t>
      </w:r>
    </w:p>
    <w:p>
      <w:r>
        <w:rPr>
          <w:b/>
        </w:rPr>
        <w:t>[Pages 76–78]</w:t>
      </w:r>
    </w:p>
    <w:p>
      <w:r>
        <w:t>378. As for the parties' argument that the CEIC was not intended to modify, but precisely to preserve the existing cash flow balances, and consequently, their competitive situation prevailing before 2002, it should be noted that such an objective actually contributes to "freezing" the check market. On the side of check issuance, such an objective aims to perpetuate, through a uniform commission, artificially created outside the mechanisms of free market play, a portion of the revenue flows that banks previously derived from float, that is to say, to guarantee drawn banks a minimum level of remuneration per check drawn. Symmetrically, on the side of check deposits, this objective results in the neutralization of the expected benefits from the acceleration of exchanges for the depositing banks. Such an objective is therefore restrictive of competition. However, this argument can be examined in terms of the potential exemption of practices, as it relates to the incentives that banks had to accept the migration from one system to another.</w:t>
      </w:r>
    </w:p>
    <w:p>
      <w:r>
        <w:t>379. It follows from the above that the creation of the CEIC aims to restrict each bank's freedom to individually define its pricing policy and hinders the free setting of prices in the check market, artificially favoring their increase on the deposit side and their decrease on the issuance side. However, the essential objective of competition law is that every economic operator autonomously determines the policy it intends to follow in the market (Judgments of the Court of July 14, 1981, Züchner, 172/80, Rec. p. 2021, point 13, and of May 28, 1998, Deere/Commission, C-7/95P, Rec. p. I-3111, point 86). The CEIC must therefore be classified as a restriction of competition by object within the meaning of Article L. 420-1 of the Commercial Code and Article 81, paragraph 1, EC.</w:t>
      </w:r>
    </w:p>
    <w:p>
      <w:r>
        <w:t>The regulation of the use of different means of payment</w:t>
      </w:r>
    </w:p>
    <w:p>
      <w:r>
        <w:t>380. It appears from the minutes of the CIR as well as from the working documents of the restricted working group of the CIR that the objective of regulating the use of different means of payment was mentioned numerous times during the discussions leading to the creation of the CEIC.</w:t>
      </w:r>
    </w:p>
    <w:p>
      <w:r>
        <w:t>381. Thus, in the working document of June 22, 1999, it is stated: "Certain actors should not be led to prefer the check with EIC to automated means of payment solely because the conditions between banks that would be retained make it more attractive than these, either for the creditor-bank pair of the creditor, or for the debtor-bank pair of the debtor." The summary of this document is also particularly explicit: "Finally, the commissions between banks should be studied with a threefold objective," one of which is to "ensure consistency between the check with EIC and other means of payment." "So that creditors and their banks do not prefer it to other means of payment, the overall commission paid by the depositing bank, the gap between exchange and settlement, should not be more favorable to the depositing bank for the check with EIC" (see above points 93 et seq.).</w:t>
      </w:r>
    </w:p>
    <w:p>
      <w:r>
        <w:t>382. It is therefore clear that the members of the CIR intended to prevent the transition to the EIC from favoring the use of checks to the detriment of other means of payment that are cheaper in terms of processing costs for the banking sector and more secure, by introducing an artificial cost element for each check deposit operation.</w:t>
      </w:r>
    </w:p>
    <w:p>
      <w:r>
        <w:t>383. While the objective of optimizing the use of different means of payment, that is to say, creating the necessary incentives for economic actors to use the most efficient means of payment (such as credit cards or TIP) appears legitimate, banks could not, for this purpose, meet in a multilateral framework to establish a uniform interbank commission without restricting competition. The principle of a common regulation based on the conclusion of a multilateral agreement of a tariff nature indeed involves a restriction whose object is anti-competitive (see, in this regard, point 379 above). On the other hand, each bank was free to choose instruments to individually regulate its clients' use of different means of payment through pricing that reflects the actual costs of using the check service.</w:t>
      </w:r>
    </w:p>
    <w:p>
      <w:r>
        <w:t>384. It follows from all of the above that the anti-competitive object of the CEIC is established.</w:t>
      </w:r>
    </w:p>
    <w:p>
      <w:r>
        <w:t>e) Commissions for ancillary services (CSC)</w:t>
      </w:r>
    </w:p>
    <w:p>
      <w:r>
        <w:t>385. These are eight multilateral commissions created to compensate for the newly rendered services by one category of banks to another and to offset the transfer of costs resulting from the dematerialization of the check exchange system.</w:t>
      </w:r>
    </w:p>
    <w:p>
      <w:r>
        <w:t>386. The amount of each of these commissions was agreed upon at a uniform level, identical from one bank to another, thus disregarding the specific costs of each bank, unless one assumes that all banks had the same cost profile, which is neither established nor even supported by the parties. Indeed, it emerges from the cost study commissioned from the firm Latham and Watkins that, depending on the ancillary services, there were very significant cost disparities between banks in 2007. It can be presumed that such disparities also existed in 1999-2000 during the negotiations within the CIR, as evidenced in particular by the minutes of the meeting of February 3, 2000, in which the representative of Crédit Lyonnais considers that the amounts ultimately retained for two CSC (the commission on circulating checks and that concerning fax requests) appear to him to be underestimated.</w:t>
      </w:r>
    </w:p>
    <w:p>
      <w:r>
        <w:t>387. Thus, the creation of the eight CSC replaced diverse cost profiles with a uniform financial burden, common to all banks, for each ancillary service. The multilateral agreement in question therefore limited the banks' freedom to independently and individually determine the level of the CSC based on their costs and, indirectly, the prices and other conditions of the services provided to their clients.</w:t>
      </w:r>
    </w:p>
    <w:p>
      <w:r>
        <w:t>388. In its aforementioned GSA decision, the Commission considered that the uniform multilateral commission in question had the object of restricting competition within the meaning of Article 81, paragraph 1, EC in that "it limits the freedom of the banks that are parties to the agreement to set the level of any commission for the processing of structured communication transfers within the framework of bilateral negotiations" (recital 48). Similarly, in its decision of July 19, 1989, Dutch Banks, the Commission found that the agreement establishing a uniform interbank commission, payable by the collecting bank to the debtor bank for certain types of transfers made using a specific form, was restrictive of competition, as it "limits the possibilities for the banks concerned to agree bilaterally on reimbursements of costs in a more favorable manner and therefore also to optimally use all means that they could have had in the absence of this agreement to obtain the most favorable conditions possible in their bilateral relations with other banks and to pass these benefits on to their clients. For the services relating to the transfers in question, this indirectly restricts competition between the banks concerned to attract customers" (recital 56).</w:t>
      </w:r>
    </w:p>
    <w:p>
      <w:r>
        <w:t>389. It follows from the above that the agreement to set the CSC at a uniform level has a restrictive object on competition. It is only at the stage of the potential exemption of this agreement that the argument that a multilateral framework was necessary to prevent difficulties in conducting bilateral negotiations on each commission can be taken into account.</w:t>
      </w:r>
    </w:p>
    <w:p>
      <w:r>
        <w:t>4. ON THE EXEMPTION OF PRACTICES</w:t>
      </w:r>
    </w:p>
    <w:p>
      <w:r>
        <w:t>390. Under Article L. 420-4 of the Commercial Code: "The provisions of Articles L. 420-1 and L. 420-2 do not apply to practices: (...) 2° Whose authors can justify that they have the effect of ensuring economic progress, (...) and that they reserve for users a fair share of the resulting profit, without giving the interested companies the possibility of eliminating competition for a substantial part of the products in question."</w:t>
      </w:r>
    </w:p>
    <w:p>
      <w:r>
        <w:t>391. Under paragraph 3 of Article 81 EC: "The provisions of paragraph 1 may be declared inapplicable:</w:t>
        <w:br/>
        <w:t>— to any agreement or category of agreements between companies,</w:t>
        <w:br/>
        <w:t>— to any decision or category of decisions of associations of companies, and</w:t>
        <w:br/>
        <w:t>— to any concerted practice or category of concerted practices</w:t>
        <w:br/>
        <w:t>that contribute to improving the production or distribution of products or to promoting technical or economic progress, while reserving for users a fair share of the resulting profit, and without:</w:t>
        <w:br/>
        <w:t>a) imposing on the interested companies restrictions that are not indispensable to achieve these objectives,</w:t>
        <w:br/>
        <w:t>b) giving companies the possibility, for a substantial part of the products in question, to eliminate competition."</w:t>
      </w:r>
    </w:p>
    <w:p>
      <w:r>
        <w:t>392. To assess whether it can be exempted on the basis of these provisions, competition authorities carry out a balancing of the pro- and anti-competitive effects of a restriction of competition.</w:t>
      </w:r>
    </w:p>
    <w:p>
      <w:r>
        <w:t>393. It follows from community case law that the party invoking the provisions of Article 81, paragraph 3, EC must demonstrate, through convincing arguments and evidence, that the conditions required to benefit from an exemption are met (see the GlaxoSmithKline judgment, cited above, point 82, and the judgment of July 11, 1985, Remia e.a./Commission, 42/84, Rec. P. 2545, point 45). The Court of Justice has specified that the factual elements invoked by the company "may be such as to compel the other party to provide an explanation or justification, failing which it is permissible to conclude that the burden of proof has been satisfied" (GlaxoSmithKline judgment, cited above, point 83; judgment of January 7, 2004, Aalborg Portland e.a./Commission, C-204/00 P, C-205/00 P, C-211/00 P, C-213/00 P, C-217/00 P and C-219/00 P, Rec. p. I-123, point 279).</w:t>
      </w:r>
    </w:p>
    <w:p>
      <w:r>
        <w:t>394. It is therefore up to the parties to establish that the CEIC and the CSC met the conditions set by internal and community provisions to be eligible for an exemption.</w:t>
      </w:r>
    </w:p>
    <w:p>
      <w:r>
        <w:rPr>
          <w:b/>
        </w:rPr>
        <w:t>[Pages 79–81]</w:t>
      </w:r>
    </w:p>
    <w:p>
      <w:r>
        <w:t>395. Although the CEIC and the CSC were established by the common agreement of February 3, 2000, concerning the interbank conditions for the transition to the EIC, it is appropriate to analyze separately the possibility of exempting them, given their differing nature, with the CEIC being a commission for compensation purposes and the CSC being commissions for services rendered.</w:t>
      </w:r>
    </w:p>
    <w:p>
      <w:r>
        <w:t>a) Regarding the CEIC</w:t>
      </w:r>
    </w:p>
    <w:p>
      <w:r>
        <w:t>396. The exemptable nature of the CEIC will be examined below in light of the first two conditions set forth by Articles L. 420-4 of the Commercial Code and 81 EC: if the agreement among the banks that facilitated the transition to the EIC contributed to achieving an economic progress, namely the establishment of a dematerialized check exchange system, the parties do not demonstrate, however, that the establishment of a commission such as the CEIC was necessary to achieve these efficiency gains.</w:t>
      </w:r>
    </w:p>
    <w:p>
      <w:r>
        <w:t>On economic progress</w:t>
      </w:r>
    </w:p>
    <w:p>
      <w:r>
        <w:t>397. It follows from community jurisprudence that, "to be exempted under Article 81(3) EC, an agreement must contribute to improving the production or distribution of products or to promoting technical or economic progress. This contribution is not identified with all the benefits that the companies participating in this agreement derive from their activity, but with significant benefits, capable of compensating for the disadvantages that result for competition" (judgment GlaxoSmithKline, cited above, paragraph 92; judgment of July 13, 1966, Consten and Grundig/Commission, 56/64 and 58/64, Rec. p. 429, paragraphs 502 and 503).</w:t>
      </w:r>
    </w:p>
    <w:p>
      <w:r>
        <w:t>398. The Commission clarified, in paragraph 51 of its guidelines of April 27, 2004, regarding the application of Article 81(3) of the Treaty (OJ 2004, C 101, p. 97): "All alleged efficiency gains must therefore be justified, so that the following points can be verified: a) nature of the alleged efficiency gains; b) link between the agreement and the efficiency gains; c) probability and significance of each alleged efficiency gain; and d) terms and date of realization of each alleged efficiency gain."</w:t>
      </w:r>
    </w:p>
    <w:p>
      <w:r>
        <w:t>399. In the present case, it is undeniable that the transition to the EIC constituted a technical and economic progress, as asserted by the parties and the Banking Commission.</w:t>
      </w:r>
    </w:p>
    <w:p>
      <w:r>
        <w:t>400. The adoption of a dematerialized compensation system indeed resulted in an improvement in the efficiency of collection circuits and an acceleration of check collection times. The Banking Commission thus emphasizes that this acceleration "sought and achieved by the establishment of the EIC, is accompanied by a better overall efficiency of the collection function and a reduction in its costs due to the reduction of necessary handling, benefiting all clients of the banking system, and the faster clearing of transit accounts. This is a source of significant savings for all economic actors and allows for a more active management of corporate cash flow" (opinion of May 22, 2008, references 13239 et seq.).</w:t>
      </w:r>
    </w:p>
    <w:p>
      <w:r>
        <w:t>401. The acceleration of check collection times results, on the one hand, from the establishment of a single dematerialized clearinghouse and thus the disappearance of the category of "out-of-place" checks, whose interbank settlement time was three business days after the exchange date, which is two days longer than that of "in-place" checks, and, on the other hand, from the banks' choice to set the end-of-day exchange time (HAJE) at 6 p.m. with an interbank settlement date of D+1, which allowed for a reduction in the gap between the date of check submission to the bank and the date of their exchange. During the CIR negotiations, banks considered that the acceleration of the interbank settlement time would be between 1.1 and 1.6 business days, and retained an average estimate of 1.4 business days (see paragraph 92). The economic study of October 30, 2009, produced by the banks in response to the supplementary report of August 19, 2009, indicates an acceleration of 1.2 business days, of which 85 to 100% would have been passed on to clients (paragraph 41 of the study, reference 34944).</w:t>
      </w:r>
    </w:p>
    <w:p>
      <w:r>
        <w:t>402. The EIC allowed banks to reduce the cost of processing checks due to the elimination of the transport of stickers from the presenting bank to the clearinghouse and from the clearinghouse to the drawee bank for 98% of processed checks, the transition from manual to automated clearing within the framework of the SIT, and the disappearance of the "return" processing performed by the drawee bank (sorting and data entry operations). Although these elements were not individually assessed, the administrative gains for the entire sector had been estimated at 600 million francs per year, or 91 million euros (see paragraph 73). Furthermore, the EIC resulted in savings for the Banque de France with the end of the free provision of the 104 physical check clearinghouses in its branches. Presenting clients also benefited from cost savings due to the simplification of the check submission operation.</w:t>
      </w:r>
    </w:p>
    <w:p>
      <w:r>
        <w:t>403. The transition to the EIC was accompanied by an improvement in services for clients. The dematerialization indeed led to the emergence of new services, such as the automatic representation of unpaid checks due to insufficient funds, allowing for faster recovery, or digital archiving, enabling online consultation of check images and accelerated information for clients regarding the amounts of checks submitted for collection. The dematerialization of exchanges also allows for faster information to merchants in cases of fraud or non-payment.</w:t>
      </w:r>
    </w:p>
    <w:p>
      <w:r>
        <w:t>404. Furthermore, as emphasized by the Banking Commission in its aforementioned opinion, the development of the EIC has ensured greater security for credit institutions and their clients, as the end of check circulation eliminated a large part of the risks of loss or theft, as well as greater efficiency in anti-money laundering efforts, as their digitization facilitated the ex post control of checks.</w:t>
      </w:r>
    </w:p>
    <w:p>
      <w:r>
        <w:t>405. It follows from the above that the agreement among the banks that facilitated the transition to the EIC has undeniably contributed to achieving economic progress. These advances were recorded as soon as the new EIC system was deployed on January 1, 2002.</w:t>
      </w:r>
    </w:p>
    <w:p>
      <w:r>
        <w:t>406. The agreement concerning the interbank conditions for the transition to the EIC, concluded within the CIR on February 3, 2000, is a component of the overall agreement regarding the transition to the EIC, which also includes an agreement on the technical modalities of the reform, negotiated within the CFNOB (see paragraph 75).</w:t>
      </w:r>
    </w:p>
    <w:p>
      <w:r>
        <w:t>407. The question thus arises as to whether the CEIC specifically contributed to achieving all the efficiency gains recorded with the transition to the EIC. This will be examined in the context of the study of the necessity of this restriction, conducted below.</w:t>
      </w:r>
    </w:p>
    <w:p>
      <w:r>
        <w:t>On necessity</w:t>
      </w:r>
    </w:p>
    <w:p>
      <w:r>
        <w:t>408. The restriction of competition resulting from the establishment of the CEIC could only be exempted to the extent that the parties demonstrate that it was necessary and proportionate to achieving the efficiency gains mentioned above.</w:t>
      </w:r>
    </w:p>
    <w:p>
      <w:r>
        <w:t>The parties' arguments</w:t>
      </w:r>
    </w:p>
    <w:p>
      <w:r>
        <w:t>409. All parties argue that the acceleration of interbank compensation mechanisms resulting from the establishment of the EIC led to a modification of cash flow balances between presenting banks and drawee banks, to the detriment of the latter. The establishment of an interbank commission to compensate for the cash flow losses generated by the acceleration of check processing was, according to them, necessary to obtain the agreement of the predominantly drawee banks, which were losing out due to the acceleration of interbank exchanges, since the unanimity of the banks concerned was required for the establishment of the EIC.</w:t>
      </w:r>
    </w:p>
    <w:p>
      <w:r>
        <w:t>410. BNP-Paribas and the Caisse d'Epargne emphasize the importance of the divergences between banks that were noted during the CIR negotiations, and argue that the modernization of the check exchange system risked being blocked in the absence of a commission compensating for cash flow transfers, as it had been twice in the past. BNP-Paribas and the Banques Populaires believe that a predominantly presenting bank, such as themselves, would have had no reason to agree to pay the CEIC if this compromise had not been necessary to implement the public interest project represented by the EIC.</w:t>
      </w:r>
    </w:p>
    <w:p>
      <w:r>
        <w:t>411. La Banque Postale also argues that the CEIC allowed banks that bore the heaviest burden of the free issuance of checks, due to a modest clientele, the assurance that the compensation for this burden would not disappear.</w:t>
      </w:r>
    </w:p>
    <w:p>
      <w:r>
        <w:t>412. The parties argue that the CEIC did not have the character of a definitive solution, but was considered as a transitional system, necessary to overcome the reluctance of drawee banks, and allowing for the gradual absorption of the cash flow imbalance induced by the EIC. The fact that the CEIC is no longer essential today for the functioning of the EIC would not demonstrate that it was not necessary to obtain the conclusion of the agreement that allowed for the modernization of check exchanges.</w:t>
      </w:r>
    </w:p>
    <w:p>
      <w:r>
        <w:t>413. Two economic studies were produced by the parties, in response to the notification of grievances (study of May 26, 2008, references 5996 et seq.), and in response to the supplementary report of August 19, 2009 (study of October 30, 2009, references 34925 et seq.). These studies provide a quantified estimate of the average loss suffered by banks due to the acceleration of interbank exchanges, excluding the compensatory mechanism, resulting, under various hypotheses, in a loss of 5 cents per check drawn, excluding administrative gains, and 2.3 cents per check drawn when taking these into account. The net impact of the transition to the EIC for the banking sector as a whole would represent a loss of 76 million euros per year (paragraphs 33 et seq. of the study of October 30, 2009). Furthermore, the study of October 30, 2009, evaluates the individual impact of the transition to the EIC on the Caisses d'Epargne and Crédit Agricole, concluding that there was a net loss for each of these banks without a compensatory mechanism (paragraphs 45 et seq.).</w:t>
      </w:r>
    </w:p>
    <w:p>
      <w:r>
        <w:t>414. The Banques Populaires argue that the analysis of the exemption criteria should not be limited to the only elements that the parties had at the time of the conclusion of the agreement.</w:t>
      </w:r>
    </w:p>
    <w:p>
      <w:r>
        <w:rPr>
          <w:b/>
        </w:rPr>
        <w:t>[Pages 82–84]</w:t>
      </w:r>
    </w:p>
    <w:p>
      <w:r>
        <w:t>l'accord, such as the internal notes of Crédit Agricole and Crédit Mutuel, but must rely on the quantified elements produced during the proceedings, notably the two economic studies submitted by the parties, which would show that the losses incurred due to the transition to the EIC were real. The Banque de France further argues that these internal figures were unknown to the other banks during the CIR negotiations.</w:t>
      </w:r>
    </w:p>
    <w:p>
      <w:r>
        <w:t>415. Société Générale, Caisses d’Epargne, Crédit Mutuel, CIC, Crédit Agricole, and LCL argue that the purpose of the CEIC was exclusively to compensate the banks drawn from the transfer of float resulting from the transition to the EIC. The impacts of the reform at the internal level of each bank, such as the productivity gains enabled by the system, were not within the remit of the CIR and could not be taken into account without exchanging sensitive information between competitors. Crédit Agricole and LCL believe that if the internal impacts of the transition to the EIC for each bank were to be considered, then the anticipated disappearance of value dates for customers should also be taken into account.</w:t>
      </w:r>
    </w:p>
    <w:p>
      <w:r>
        <w:t>416. The parties also emphasize that the transition to the EIC required significant investments related to the establishment of IT systems and the necessary equipment for the creation and processing of check images, as well as the retraining of staff previously assigned to manual check processing. These investments should have been taken into account by the rapporteurs as part of the costs borne by the banks in determining the economic assessment of the transition to the EIC without compensation. The parties argue that the CEIC was necessary during the launch phase of the CEIC, as the administrative gains only truly benefited the banks after the amortization of the investments made.</w:t>
      </w:r>
    </w:p>
    <w:p>
      <w:r>
        <w:t>417. Furthermore, the parties argue that the level of the CEIC, set at 4.3 euro cents, was not disproportionate compared to the financial losses suffered by certain predominantly drawn banks. The economic study of October 30, 2009, estimates the minimum commission level necessary to compensate for the losses incurred by Crédit Agricole at 4.8 euro cents. Additionally, the parties highlight that the compensatory nature of the CEIC and its temporary character explain the flat amount of this commission, which is the result of a compromise and not the outcome of an arithmetic calculation.</w:t>
      </w:r>
    </w:p>
    <w:p>
      <w:r>
        <w:t>418. Finally, the Banque de France, Société Générale, Crédit Agricole, and LCL argue that no less restrictive alternative to competition was feasible, as setting compensation on a bilateral basis faced the practical impossibility of negotiating a multitude of bilateral agreements. Moreover, it was not possible to limit the agreement to the calculation methods of the commission without exchanging sensitive information between the parties. Lastly, the CEIC allowed for the preservation of the acceleration of exchanges for the benefit of remitting clients, an element of the economic progress enabled by the EIC, which a conventional extension of interbank settlement times would not have allowed.</w:t>
      </w:r>
    </w:p>
    <w:p>
      <w:r>
        <w:t>Assessment in this case</w:t>
      </w:r>
    </w:p>
    <w:p>
      <w:r>
        <w:t>419. In its guidelines regarding the application of Article 81, paragraph 3, of the Treaty, the Commission specifies that the analysis of the necessity of competition restrictions must be conducted according to a dual criterion: "on the one hand, the restrictive agreement itself must be reasonably necessary to achieve efficiency gains; on the other hand, each of the competition restrictions resulting from the agreement must be reasonably necessary to achieve the efficiency gains" (point 73). It indicates that: "The assessment of the indispensable nature of a restriction is made within the real framework in which the agreement operates and must notably take into account the market structure, the economic risks associated with the agreement, and the incentives of the parties. (...) restrictions may prove indispensable to align the incentives of the parties and ensure that they will focus their efforts on implementing the agreement" (point 80).</w:t>
      </w:r>
    </w:p>
    <w:p>
      <w:r>
        <w:t>420. The examination of an agreement within the framework of a request for exemption under Article 81, paragraph 3, EC may require taking into account the characteristics and any specificities of the sector concerned by the agreement, if these characteristics and specificities are decisive for the outcome of the examination (see, in this sense, the GlaxoSmithKline judgment, cited above, point 103).</w:t>
      </w:r>
    </w:p>
    <w:p>
      <w:r>
        <w:t>421. The analysis of the arguments put forward by the parties to demonstrate the necessity of the CEIC will be conducted in five steps. Firstly, the context of the agreement will be examined, indicating that the individual incentives of the parties to accept the transition to the EIC, with or without a compensatory mechanism, must be taken into account to assess the necessity of the commission. Secondly, the absence of demonstration by the parties that, at the time of the CIR negotiations, at least one of them anticipated a net loss due to the transition to the EIC will be outlined. Thirdly, it will be established that the establishment of a fixed commission per transaction was in any case not capable of compensating for the alleged cash flow losses. Fourthly, an economic assessment of the transition to the EIC will be presented for each of the banks, confirming the analysis previously developed. Fifthly, it will be recalled that the CEIC was not subject to a review at the end of the three-year period provided for by the agreement of February 3, 2000.</w:t>
      </w:r>
    </w:p>
    <w:p>
      <w:r>
        <w:t>The framework of the agreement</w:t>
      </w:r>
    </w:p>
    <w:p>
      <w:r>
        <w:t>The context of the transition to the euro</w:t>
      </w:r>
    </w:p>
    <w:p>
      <w:r>
        <w:t>422. As a preliminary point, it is important to recall the context in which the EIC system was launched. As outlined in point 68 above, two attempts to dematerialize the interbank check clearing had already failed, the first in 1988 and the second in 1991. While it is undisputed that the resistance of certain banks to the prospect of a loss of cash flow revenue contributed to the failure of these projects, their lack of success is also explained by technical and social obstacles. The cost of establishing a dematerialized exchange system was likely higher in the early 1990s than in the early 2000s.</w:t>
      </w:r>
    </w:p>
    <w:p>
      <w:r>
        <w:t>423. In 1999, the prospect of transitioning from the franc to the euro, involving the creation of a clearing circuit for euro checks, temporarily coexisting with the old clearing circuit for checks in francs, represented an opportunity to overcome the remaining obstacles and disagreements and modernize the check exchange system. Representatives of the Banque de France indicated in their hearing on July 1, 2008, that in the absence of dematerialization of the clearing system, it would have been necessary to "duplicate the paper exchange system for the needs of euro checks, which would have been both costly and complex" (references 8998 et seq.).</w:t>
      </w:r>
    </w:p>
    <w:p>
      <w:r>
        <w:t>424. The Banking Commission, in its opinion of May 22, 2008, mentions the opportunity represented by the transition to the euro: "The Banking Commission wishes to first recall the context that led to the implementation of the Check Image Exchange. This was a major political issue, actively supported by all public authorities within the framework of the transition to the euro. As highlighted in the statement of objections (point 60), several attempts to dematerialize the exchange of check forms had already failed in the past. The transition to the euro thus constituted an opportunity to successfully carry out this project while making it even more necessary" (reference 13240).</w:t>
      </w:r>
    </w:p>
    <w:p>
      <w:r>
        <w:t>The consensus required for the establishment of a new interbank settlement system</w:t>
      </w:r>
    </w:p>
    <w:p>
      <w:r>
        <w:t>425. A new interbank check exchange system like the EIC could, like any interbank settlement system, only be "established by a public authority or (...) governed by a framework agreement respecting the general principles of a market framework agreement or by a standard agreement" in accordance with the provisions of Article L. 330-1 of the Monetary and Financial Code (see point 35). The Banque de France indicates in its observations that all French payment systems have a contractual basis and that it does not have regulatory power in this area (reference 37319). However, the transition to the EIC within the framework of an interbank framework agreement could only be decided unanimously by the banks participating in the dematerialized check processing circuit. The Banking Commission thus notes in its opinion of May 22, 2008: "[s]uch a project, necessarily interbank, had to obtain the agreement of the entire market to be successfully carried out."</w:t>
      </w:r>
    </w:p>
    <w:p>
      <w:r>
        <w:t>426. While a dematerialized clearing system involving only a portion of banking institutions was theoretically conceivable, the coexistence of such a system with the old manual clearing system would likely have generated very high operating costs, making it unlikely that an agreement could be reached to implement this solution.</w:t>
      </w:r>
    </w:p>
    <w:p>
      <w:r>
        <w:t>427. It follows from the above that at the time of the CIR negotiations, banks were strongly incentivized to agree on the conditions for the establishment of the dematerialized interbank check clearing system.</w:t>
      </w:r>
    </w:p>
    <w:p>
      <w:r>
        <w:t>428. It should be emphasized that the possibility of instituting the EIC through a government-originating regulatory text, in the event of a blockage in negotiations, was not excluded by the Monetary and Financial Code. However, no element in the file allows for the conclusion that this option was considered. The public authorities had not chosen to implement it during the failures of the two previous attempts to dematerialize the check clearing system.</w:t>
      </w:r>
    </w:p>
    <w:p>
      <w:r>
        <w:t>Taking into account the individual incentives of banks to accept the dematerialization of check exchanges</w:t>
      </w:r>
    </w:p>
    <w:p>
      <w:r>
        <w:t>429. While the economic and legal context of the agreement helps explain why banks actively sought a compromise to allow the transition to the EIC, albeit imperfect, it does not automatically justify the conditions of the agreement reached by the banks, particularly the establishment of a new interbank commission for the clearing of checks.</w:t>
      </w:r>
    </w:p>
    <w:p>
      <w:r>
        <w:t>430. In its aforementioned opinion of May 22, 2008, the Banking Commission states that: "the establishment of the various interbank commissions, including, for a transitional period, the check image exchange commission, was decisive in the success of this national interest project. In this regard, the Commission believes that we were not faced with a simple subjective feeling incapable of justifying an exemption (...) but that consistent testimonies, including from public authorities that supported this evolution, can be taken into account to objectively establish the effective nature of this necessity" (reference 13240).</w:t>
      </w:r>
    </w:p>
    <w:p>
      <w:r>
        <w:rPr>
          <w:b/>
        </w:rPr>
        <w:t>[Pages 85–87]</w:t>
      </w:r>
    </w:p>
    <w:p>
      <w:r>
        <w:t>431. However, the antagonisms expressed within the CIR, as reflected in the report of the restricted working group and the minutes of the CIR meetings, and the role of the Banque de France in reaching a compromise, cannot alone establish the necessity of the CEIC. Only the study of the individual incentives of the parties, and not their negotiating positions, is capable of demonstrating the necessity of a compensatory mechanism, provided that, on the one hand, it is established that some of them could rationally oppose the reform due to the foreseeable losses incurred, and, on the other hand, that the CEIC was, given its characteristics, capable of compensating for these losses, and thus removing the cause of these banks' reluctance.</w:t>
      </w:r>
    </w:p>
    <w:p>
      <w:r>
        <w:t>432. Indeed, as the parties point out, it was rational for each of the banks participating in the CIR negotiations to accept the transition to the EIC only on the condition that they would not incur losses due to the change. Otherwise, the establishment of a mechanism to compensate for these losses could be accepted, on a transitional basis, in order to provide the losing institutions with an incentive to accept the transition to the new check compensation system, and thus to enable the realization of the efficiency gains that were expected.</w:t>
      </w:r>
    </w:p>
    <w:p>
      <w:r>
        <w:t>433. A similar reasoning was followed by the community authorities during the adoption of Regulation (EC) No. 924/2009 of the European Parliament and of the Council of September 16, 2009, concerning cross-border payments in the Community and repealing Regulation (EC) No. 2560/2001 (OJ L 266, p. 11). In the context of examining the applicability of Article 81 EC to multilateral interbank payments related to the direct debit in the Single Euro Payments Area (SEPA), it was considered that the maintenance or creation of multilateral interchange fees (MIF) per transaction provided the various banks with the necessary incentives to migrate from the old national systems to the unified pan-European SEPA direct debit mechanism. However, it should be noted that the temporary maintenance of the interbank fees in question was authorized by a community regulation, and not within the framework of an agreement between companies that would have been subject to an exemption decision by the Commission based on Article 81(3) EC.</w:t>
      </w:r>
    </w:p>
    <w:p>
      <w:r>
        <w:t>434. Furthermore, regarding the assessment of the individual incentives of each institution, it is important to analyze the expected consequences of the transition to the EIC at the level of each bank, and not at the level of the entire banking sector.</w:t>
      </w:r>
    </w:p>
    <w:p>
      <w:r>
        <w:t>435. Given the necessity, emphasized by all parties, to obtain a consensus from the banks to enable the economic progress represented by the EIC, it may be considered that the fact that at least one bank realistically estimated, at the time when the CIR negotiations took place, that it would incur losses due to the acceleration of exchanges was sufficient to justify the creation of a compensatory mechanism.</w:t>
      </w:r>
    </w:p>
    <w:p>
      <w:r>
        <w:t>436. The report of the restricted working group of the CIR dated June 22, 1999, similarly noted that: "For a consensus to emerge on the decision to move to the EIC and on a corresponding proposal of conditions between banks, there must not be a critical mass of institutions that consider they would have an interest in maintaining the status quo rather than rallying to this proposal" (cote 916).</w:t>
      </w:r>
    </w:p>
    <w:p>
      <w:r>
        <w:t>437. Furthermore, contrary to what the Banques Populaires assert, the incentives of the parties to accept the transition to the EIC must be studied taking into account not the data for the entire period from 2002 to 2006 but the data available to the banks at the date they participated in the CIR meetings, any subsequent event having, by definition, not been able to be taken into account to determine their respective positions during the negotiation of the agreement, concluded on February 3, 2000.</w:t>
      </w:r>
    </w:p>
    <w:p>
      <w:r>
        <w:t>Conclusion on the framework of the agreement</w:t>
      </w:r>
    </w:p>
    <w:p>
      <w:r>
        <w:t>438. It follows from the above that it is up to the parties to provide evidence that the establishment of the CEIC, that is to say, a fixed amount interbank fee, paid by the presenting bank to the drawn bank, was indeed capable of compensating for any expected losses, and thus was capable of creating the necessary incentives for all banks to agree to transition to the EIC under terms allowing for the realization of the acceleration of interbank exchanges. The parties do not demonstrate that at the date of the CIR negotiations, any of the banks anticipated a net loss related to the transition to the EIC.</w:t>
      </w:r>
    </w:p>
    <w:p>
      <w:r>
        <w:t>The analyses conducted within the CIR</w:t>
      </w:r>
    </w:p>
    <w:p>
      <w:r>
        <w:t>439. During the CIR meetings, the banks conducted an analysis of the economic balance of the transition to the EIC.</w:t>
      </w:r>
    </w:p>
    <w:p>
      <w:r>
        <w:t>440. The report of the restricted working group of the CIR defined the elements that should be taken into account to carry out this assessment, both at the level of the banking sector as a whole and at the level of each institution: "In terms of balance, if we consider only the perspective of interbank exchanges, any modification of the interbank settlement date results in a zero-sum game for the profession. Each institution gains or loses based on the average capital balance of its exchanges and its ability to benefit, better or worse than others, from the rapid collection opportunities offered by the new system. (...) From the perspective of each institution, each must add to the above elements concerning it:</w:t>
        <w:br/>
        <w:t>- the administrative savings and additional costs of processing transactions as the presenting bank and as the drawn bank,</w:t>
        <w:br/>
        <w:t>- the consequences that the new interbank rules could have on potential transfers of customer flows (...).</w:t>
        <w:br/>
        <w:t>These calculations, which are known to carry a degree of uncertainty, should be made in a steady state by integrating the amortization of the additional costs related to the transition from one system to another" (point 88).</w:t>
      </w:r>
    </w:p>
    <w:p>
      <w:r>
        <w:t>441. Nevertheless, the working group did not apply the method thus recommended to evaluate the amount of the interbank fee that would have allowed compensating for the potential losses incurred by certain banking institutions due to the transition to the EIC. The working group calculates this amount by the product of the average check amount (3000 francs, or 457 euros), the acceleration of the interbank settlement period expected (1.1 to 1.6 business days), and the interest rate at which the bank can invest the funds at its disposal (3%). This calculation takes into account only the cash flow losses on the drawn side of the banks, uncorrected by the cash flow gains recorded on the presenting side of the banks or by the administrative gains derived from the dematerialization of exchanges. Thus, amounts of 8.8 euro cents (0.58 franc) for an acceleration of 1.6 business days and 6 euro cents (0.40 franc) for an acceleration of 1.1 business days are put forward (cote 924).</w:t>
      </w:r>
    </w:p>
    <w:p>
      <w:r>
        <w:t>442. The method followed by the restricted working group of the CIR, which limits itself to studying the cash flow loss incurred for each check drawn, without comparing it to the cash flow gains recorded for each check presented and the efficiency gains derived by the banks from the transition to the EIC, does not allow for a relevant assessment of the incentives of the actors to accept the establishment of this new system. Indeed, if the loss incurred is fully compensated by the gains recorded, there exists for the concerned institution a rational incentive to accept the change.</w:t>
      </w:r>
    </w:p>
    <w:p>
      <w:r>
        <w:t>443. To assess the incentives of the banks to accept the transition to the EIC, it is therefore necessary to take into account all individual gains and losses that resulted from the establishment of the new system, including the expected administrative gains or potential additional costs. On the other hand, there is no need to consider changes that are not a direct consequence of the agreement on the EIC. Thus, there is no need to take into account potential losses related to the disappearance of value dates as requested by Crédit Agricole and CIC, this practice, which falls under the commercial freedom of the banks, being unrelated to the speed of interbank exchanges. Unlike administrative gains, directly enabled by the dematerialization of check compensation, the disappearance of value dates was not a consequence of the agreement for the transition to the EIC. The hypothesis of the disappearance of value dates was not even considered by the CIR and did not occur at all following the establishment of the EIC.</w:t>
      </w:r>
    </w:p>
    <w:p>
      <w:r>
        <w:t>444. If the restricted working group of the CIR proposed to the banks an analysis grid in order to carry out an individual assessment of the transition to the EIC, it does not appear from the preparatory documents for the agreement that the reality of net losses incurred by certain institutions predominantly drawn from checks due to the transition to the EIC was debated during the negotiations concerning the establishment of the CEIC, while the CIR was content to justify the establishment of an interbank fee by taking into account the gross cash flow loss on the drawn side of the banks.</w:t>
      </w:r>
    </w:p>
    <w:p>
      <w:r>
        <w:t>The internal assessments of the transition to the EIC conducted by the banks</w:t>
      </w:r>
    </w:p>
    <w:p>
      <w:r>
        <w:t>445. The economic assessments of the transition to the EIC in the absence of an interbank compensatory mechanism, conducted internally by three banks at the time of the CIR negotiations, are revealing, as none of these three institutions anticipated a loss related to the transition to the EIC (see points 109 et seq.). In accordance with the method recommended by the CIR, these assessments take into account, in addition to cash flow losses per check drawn, the cash flow gains per check presented as well as the administrative gains derived from the new system.</w:t>
      </w:r>
    </w:p>
    <w:p>
      <w:r>
        <w:t>446. Crédit Agricole, a predominantly drawn bank, estimates that the transition to the EIC without a compensatory mechanism would provide it with an annual gain of 15.7 million euros (103 million francs). The projected balance of the transition to the EIC conducted by Crédit Mutuel, also a predominantly drawn bank, was likewise positive, with an estimated annual gain of 2.77 million euros (18.2 million francs). Finally, the assessment conducted by CIC, a predominantly presenting bank, shows that it anticipated net gains from the transition to the EIC without CEIC, with the balance becoming negative to the extent of 1.3 million euros (8.53 million francs) in the case of a CEIC of 4 euro cents.</w:t>
      </w:r>
    </w:p>
    <w:p>
      <w:r>
        <w:t>447. The other banks did not produce during the proceedings before the Competition Authority any internal documents reflecting an assessment of all the expected consequences of the transition to the EIC in 1999-2000. It is therefore not established that any of them anticipated, at the time when the CIR negotiations took place, that the transition to the EIC...</w:t>
      </w:r>
    </w:p>
    <w:p>
      <w:r>
        <w:rPr>
          <w:b/>
        </w:rPr>
        <w:t>[Pages 88–90]</w:t>
      </w:r>
    </w:p>
    <w:p>
      <w:r>
        <w:t>87. It is not established that any of them anticipated, at the time when the CIR negotiations took place, that the transition to the EIC would result in a net loss for them, the compensation for which required the establishment of a commission per transaction paid by the presenting banks to the drawn banks.</w:t>
      </w:r>
    </w:p>
    <w:p>
      <w:r>
        <w:t>448. In this regard, it should be noted that Crédit Agricole was, during the period in question, the second largest drawn institution by volume (difference between the number of checks issued and the number of checks presented positive), behind La Poste (point 66). However, as stated above, Crédit Agricole anticipated a net gain from the EIC of 15.7 million euros, excluding the compensatory mechanism. The establishment of a fixed commission per transaction was, in any case, not likely to compensate for the expected cash flow losses. The gain or loss of cash flow depended solely on the total value of the checks issued and presented by each institution and not on their number.</w:t>
      </w:r>
    </w:p>
    <w:p>
      <w:r>
        <w:t>449. All parties emphasize that no rational economic actor would accept the implementation of a system that would incur a cost for them, with an equivalent gain for their direct competitors, without ensuring that this additional cost is compensated. However, in this case, the establishment of a fixed commission such as the CEIC was not likely to compensate for the cost of transferring float from the predominantly drawn banks to the predominantly presenting banks, since this cost depended solely on the total value of the checks issued and presented by each institution and not on the number of check transactions in which it participates.</w:t>
      </w:r>
    </w:p>
    <w:p>
      <w:r>
        <w:t>450. This point was also raised by the report of the restricted working group dated June 22, 1999, which noted that the cash flow loss of each bank is linked to the "average capital balance of exchanges" (quoted excerpt, point 88). It was also pointed out during the CIR meeting on July 1, 1999, by representatives of Crédit du Nord and the Banques Populaires, that a fixed commission did not allow for the compensation of cash flow imbalances suffered due to different average check amounts depending on the institutions. Representatives of Paribas and Crédit Lyonnais more generally questioned the economic justification for a fixed commission (see point 100).</w:t>
      </w:r>
    </w:p>
    <w:p>
      <w:r>
        <w:t>451. A predominantly drawn institution by volume (difference between the number of checks drawn and the number of checks presented positive) does not incur a cash flow loss due to the transition to the EIC if it is predominantly presenting in value (difference between the total amount of checks presented and the total amount of checks drawn positive). In this case, it is rational for the institution to accept the transition to the EIC without a compensatory mechanism. The establishment of a fixed commission per check processed in favor of the drawn bank is extremely favorable to the institution, as it increases a net cash flow gain due to the transition to the EIC.</w:t>
      </w:r>
    </w:p>
    <w:p>
      <w:r>
        <w:t>452. Conversely, a predominantly presenting institution by volume (difference between the number of checks drawn and the number of checks presented negative) incurs a net cash flow loss due to the transition to the EIC if it is predominantly drawn in value (difference between the total amount of checks presented and the total amount of checks drawn negative). In this case, it is not rational for the institution to accept the transition to the EIC without a compensatory mechanism in its favor, unless this loss is compensated by other types of gains derived from the reform. However, the establishment of a commission per check presented further deteriorates the balance of the transition to the EIC for this type of institution.</w:t>
      </w:r>
    </w:p>
    <w:p>
      <w:r>
        <w:t>453. This hypothesis is not theoretical, as shown by the case of HSBC, a predominantly presenting bank by volume, which argues in its memorandum of November 2, 2009, that the cash flow losses from its drawn banking activity, amounting to 18.4 to 22 million euros between 2002 and 2007, are not fully compensated by the gains from its presenting banking activity, amounting to 8.5 to 9.6 million euros for the same period (cites 38198 et seq.). This is explained by the very high average amount of checks issued by HSBC's clients. Thus, it emerges from the study by Mircoéconomix produced by HSBC in support of its observations that the bank was predominantly presenting by volume and predominantly drawn in value in 2005 and 2006 (cites 5562 and 5563).</w:t>
      </w:r>
    </w:p>
    <w:p>
      <w:r>
        <w:t>454. This situation may also explain why the representative of Société Générale, a predominantly presenting bank by volume, questioned during the CIR negotiations whether the commission "should not be paid by the drawn banker to the presenting banker" (point 100).</w:t>
      </w:r>
    </w:p>
    <w:p>
      <w:r>
        <w:t>455. It follows from the above that the establishment of a fixed commission such as the CEIC was not likely to remedy the lack of incentive for certain banks to accept the implementation of the EIC due to the existence of net cash flow losses linked to the acceleration of interbank exchanges.</w:t>
      </w:r>
    </w:p>
    <w:p>
      <w:r>
        <w:t>The establishment of a proportional commission was dismissed by the banks during the CIR negotiations.</w:t>
      </w:r>
    </w:p>
    <w:p>
      <w:r>
        <w:t>456. In this regard, while the banks argue that the CEIC is the result of a compromise among the banks, and that its amount is not the result of an arithmetic calculation, it remains that a fixed commission could only have a compensatory effect in the event of a correspondence between volumes and amounts of checks, both at issuance and at presentation, for each of the institutions concerned, which, as many banks pointed out during the CIR negotiations, did not correspond to reality for the majority of banks.</w:t>
      </w:r>
    </w:p>
    <w:p>
      <w:r>
        <w:t>457. The banks excluded the establishment of a commission proportional to the amount of checks issued, whereas this would have allowed, unlike a fixed commission, to effectively compensate the actual cash flow losses of predominantly drawn institutions in value. The reason put forward by the report of the restricted working group of the CIR is that a proportional commission "would not bring anything more compared to discrepancies between exchange and settlement [i.e., the conventional maintenance of interbank settlement delays slower than those allowed by the technical acceleration of check processing due to their dematerialization] other than the disadvantage of being subject to VAT, a significant portion of which is not recoverable by the banks" (see point 91). However, the maintenance of artificially slow settlement delays preventing presenting clients from benefiting, in the form of a reduction in the check collection period, from the acceleration of exchanges allowed by the EIC, was hardly acceptable to these clients, as pointed out, for example, by the Banque de France during the CIR negotiations (point 101). Furthermore, the issue of VAT liability is independent of the nature of the commission charged, whether proportional or fixed.</w:t>
      </w:r>
    </w:p>
    <w:p>
      <w:r>
        <w:t>The incentives for predominantly presenting institutions by volume.</w:t>
      </w:r>
    </w:p>
    <w:p>
      <w:r>
        <w:t>458. In this context, predominantly presenting institutions by volume were all the more disadvantaged by the establishment of the CEIC, and thus less incentivized to accept its principle, as the total value of the checks issued by their clients was significant. It is therefore difficult to explain why this type of institution would accept the establishment of the CEIC, which had the effect of deteriorating their balance, unless one assumes that the administrative gains realized due to the transition to the EIC at least compensated for the cost incurred, or that they planned to pass on all or part of the commission to their clientele, directly or indirectly within the framework of the overall relationship maintained with each client, in order to compensate for the loss incurred.</w:t>
      </w:r>
    </w:p>
    <w:p>
      <w:r>
        <w:t>459. It emerges from the CIR negotiations that certain predominantly presenting banks by volume, such as BNP and LCL, justified the principle of an interbank commission not as a mechanism to compensate for a loss incurred by predominantly drawn institutions, but as a means to ensure the coherence of payment methods as a whole (points 93 et seq.).</w:t>
      </w:r>
    </w:p>
    <w:p>
      <w:r>
        <w:t>460. Indeed, it should be recalled, even if the banks do not invoke this argument in defense to justify the exemptable nature of the CEIC, that the establishment of this commission was also motivated, at the time of the CIR negotiations, by the desire to avoid making checks a more attractive means of payment than automated payment methods (such as card payments or transfers), while their processing cost is higher (see point 94).</w:t>
      </w:r>
    </w:p>
    <w:p>
      <w:r>
        <w:t>461. In this regard, even assuming that the banks could establish that the "coherence of payment methods," as understood by the CIR, constitutes a source of efficiency, it would be impossible to consider that the establishment of the CEIC was necessary and proportionate to achieve this objective, especially since its amount was set without any relation to the actual cost of the service of issuing or presenting checks, whether it be the individual cost of each bank or the average cost observed for the entire sector. The amount of the CEIC was indeed set by reference solely to the gross cash flow losses incurred per average drawn check, the initially envisaged amount being subsequently reduced flat-rate by way of compromise.</w:t>
      </w:r>
    </w:p>
    <w:p>
      <w:r>
        <w:t>The economic assessment of the transition to the EIC for each of the banks concerned confirms this analysis.</w:t>
      </w:r>
    </w:p>
    <w:p>
      <w:r>
        <w:t>462. The economic assessment of the transition to the EIC produced by the parties will be examined below. Although the burden of proof rests on the parties regarding the exemption from restrictive competition practices, the Authority will then outline the methodology to be retained for the analysis of the transition to the EIC, with simulations carried out under various hypotheses confirming that a fixed commission per transaction such as the CEIC was not likely to create the necessary incentives for the transition to the EIC.</w:t>
      </w:r>
    </w:p>
    <w:p>
      <w:r>
        <w:t>The analyses presented by the parties.</w:t>
      </w:r>
    </w:p>
    <w:p>
      <w:r>
        <w:t>463. The investigation services proposed, at the stage of the notification of grievances on March 14, 2008, and the report of August 14, 2008, to carry out a more precise economic assessment of the foreseeable consequences of the transition to the EIC for each of the banks involved. They proposed to take into account various elements, some of which had not been examined by the CIR.</w:t>
      </w:r>
    </w:p>
    <w:p>
      <w:r>
        <w:t>464. In their response memoranda and in their observations during the session, the parties relied on the method proposed by the investigation services to attempt to establish the necessity of the CEIC to compensate for the cash flow losses incurred by certain banks, while contesting the relevance of some of the hypotheses retained by the investigation services. They did not propose an alternative method to assess the balance, for each bank, of the transition to the EIC with or without a compensatory mechanism, except for the one retained by the CIR, and which has just been demonstrated not to establish the necessity of the CEIC.</w:t>
      </w:r>
    </w:p>
    <w:p>
      <w:r>
        <w:rPr>
          <w:b/>
        </w:rPr>
        <w:t>[Pages 91–93]</w:t>
      </w:r>
    </w:p>
    <w:p>
      <w:r>
        <w:t> The arguments relating to the overall impact assessment of the EIC</w:t>
      </w:r>
    </w:p>
    <w:p>
      <w:r>
        <w:t>465. Firstly, the economic study dated October 30, 2009, submitted by the parties in support of their observations in response to the report, provides an overall assessment of the impact of the EIC without a compensatory mechanism for the entire banking sector (points 33 et seq.). It concludes that banks would have incurred, due to the acceleration of interbank exchanges, an average loss of 5 euro cents per check drawn, excluding administrative gains, and 2.3 cents when taking these into account. The net impact of the transition to the EIC for the banking sector as a whole would represent a loss of 76 million euros per year, and 417 million euros for the period from January 1, 2002, to July 1, 2007, during which the CEIC was in effect. The study adds that, assuming banks would have passed on 85% of the benefit of the acceleration of interbank settlement to their clients, they would have recorded a cash gain of 1.1 cents per check presented. In such a scenario, the net impact of the transition to the EIC would have been a net loss of 1.2 cents per interbank check, resulting in an annual loss of 39.6 million euros, and 218 million euros for the period from January 1, 2002, to July 1, 2007 (point 42).</w:t>
      </w:r>
    </w:p>
    <w:p>
      <w:r>
        <w:t>466. However, these estimates, like those made by the CIR's restricted working group during the negotiations, are based on average data (or assumptions) common to the entire banking sector, particularly on the average amount of checks issued in France in 2002. Since the average amount of checks varies significantly, at issuance and presentation, depending on the banks involved, such a method does not allow for the examination of the individual incentives of banks to accept the transition to the EIC, which are the only relevant factors for assessing the necessity of the CEIC, as explained above, and as highlighted by the economic study of May 26, 2008, submitted by the parties in support of their observations in response to the statement of objections (§ 2.30 et seq.).</w:t>
      </w:r>
    </w:p>
    <w:p>
      <w:r>
        <w:t>467. Furthermore, the analysis developed by the study of October 30, 2009, is based on the erroneous assumption that banks would only benefit from the acceleration of interbank exchanges on their presenting share of the acceleration not passed on to clients (point 27 et seq. of the study).</w:t>
      </w:r>
    </w:p>
    <w:p>
      <w:r>
        <w:t>468. However, since the beneficiary of the check does not immediately place the amounts collected for their own account, that is to say, as long as the client does not optimize their cash management, the presenting bank can invest these amounts for its own benefit and earn a return as long as they are available in the client's current account. The acceleration of interbank settlement thus allows the presenting bank to invest the collected amounts earlier, and consequently, to increase its cash gain.</w:t>
      </w:r>
    </w:p>
    <w:p>
      <w:r>
        <w:t>469. The significance of passing on the acceleration of interbank settlement, through an acceleration of check collections, affects the amount of cash gain for the presenting bank only for the portion of amounts collected by clients who optimize their cash management. If the acceleration of interbank settlement is equivalent to the acceleration of the collection period, the bank does not benefit from any transfer of float due to the transition to the EIC when its client immediately debits the collected amount. For this type of client, the bank only benefits from a cash gain if it does not fully pass on or only partially passes on the acceleration allowed by the EIC to the benefit of its client. A zero or partial pass-on of the acceleration can be achieved by the bank, for example, by manipulating value dates, with the bank crediting the client's account at a date later than when it itself was paid (see point 32).</w:t>
      </w:r>
    </w:p>
    <w:p>
      <w:r>
        <w:t>470. Moreover, the argument that the banking sector as a whole would have been at a loss due to the transition to the EIC without the CEIC, which would demonstrate that at least one of the banks was also at a loss (point 37 of the study), does not justify the necessity of establishing the CEIC: as it concerns an interbank commission, its creation represents a zero-sum game among the players in the banking sector that does not allow for an improvement in the overall balance of the sector. In such a scenario, the CEIC would merely transfer losses from one institution to another, and would therefore not create the necessary incentives to obtain the agreement of all participants in the CIR negotiations. Thus, assuming that the banking sector as a whole was at a loss due to the transition to the EIC - a highly unlikely assumption put forward by the parties, given the efficiency gains it brought - the only effective compensatory mechanism would have been an increase in fees imposed on clients. In this regard, banks were free to individually determine the pricing policy applied to their clients. Despite the free issuance of check forms mandated by French legislation, they could obtain indirect compensation through the increase in the price of other banking services, as previously explained (see point 31), since banks base their remuneration on the entirety of their relationship with their clients, across all services.</w:t>
      </w:r>
    </w:p>
    <w:p>
      <w:r>
        <w:t> The study of the individual incentives of the Caisses d’Epargne and Crédit Agricole</w:t>
      </w:r>
    </w:p>
    <w:p>
      <w:r>
        <w:t>471. Secondly, the economic study of October 30, 2009, provides an assessment of the individual impact of the transition to the EIC for the Caisses d’Epargne and Crédit Agricole (points 44 et seq. and annex A of the study). It indicates, under certain data (or assumptions) specific to each of the banks concerned, a loss per check drawn of 4.2 euro cents for the Caisses d’Epargne excluding administrative gains, and 1.5 cents per check drawn when taking these into account, and a loss per check drawn of 5.5 euro cents and 2.8 euro cents respectively for Crédit Agricole.</w:t>
      </w:r>
    </w:p>
    <w:p>
      <w:r>
        <w:t>472. However, these calculations are not relevant for assessing the net impact of the transition to the EIC for these banks as they do not take into account the cash gains they benefited from due to the EIC.</w:t>
      </w:r>
    </w:p>
    <w:p>
      <w:r>
        <w:t>473. Furthermore, regarding Crédit Agricole, the study is based on the average amount of interbank checks drawn between 2002 and 2006. However, to study the bank's incentives to accept the transition to the EIC, it is necessary to rely on the data available to it at the time of the conclusion of the agreement in 2000, which alone could serve as a basis for the position adopted during the CIR negotiations, even if the evaluations made by the bank were necessarily prospective in nature. In this regard, the internal estimate made by Crédit Agricole at that time, which is included in the file, allows for a more accurate assessment of this bank's real incentives to accept the dematerialization of check compensation than the retrospective reconstruction of its balance sheet for the transition to the EIC.</w:t>
      </w:r>
    </w:p>
    <w:p>
      <w:r>
        <w:t>474. Similarly, while the economic study of October 30, 2009, proposes to calculate the minimum amount of the CEIC necessary to compensate for the losses alleged by Crédit Agricole, taking into account this time the recorded cash gains and an estimated pass-on of the CEIC to clients of 42% (points 60 et seq. and annex B), this assessment is devoid of relevance, as it is based, like the previous evaluations, on data relating to the period between 2002 and 2006, which is subsequent to the negotiations that took place within the CIR, and on the erroneous assumption that the pass-on of the acceleration of exchanges to the benefit of presenting clients deprives the bank of the possibility of earning income on the amounts presented by investing them for its own benefit in proportion to this pass-on, which is only true for amounts collected by clients who optimize their cash management.</w:t>
      </w:r>
    </w:p>
    <w:p>
      <w:r>
        <w:t>475. Thus, given the methodological errors outlined above, the analyses put forward by the parties are not capable of convincingly demonstrating that at least one of the banks concerned would have suffered a loss due to the transition to the EIC.</w:t>
      </w:r>
    </w:p>
    <w:p>
      <w:r>
        <w:t>Methodology for assessing the economic impact of the transition to the EIC</w:t>
      </w:r>
    </w:p>
    <w:p>
      <w:r>
        <w:t>476. Even though the burden of proof rests with the parties regarding the examination of the exemptibility of a restrictive competition practice, the individual impact of the transition to the EIC for the banks will nevertheless be studied according to the method detailed below.</w:t>
      </w:r>
    </w:p>
    <w:p>
      <w:r>
        <w:t>477. Simulations will be conducted based on data obtained during the investigation or communicated by the parties during the proceedings, or, failing that, on common calculation assumptions applicable to the banks. When communicated, the data will be those available to the banks at the time of the CIR meetings. If not available, data from the year closest to the period 1999/2000 will be used. When data is unknown, several calculation assumptions will be tested to account for this uncertainty, in accordance with the arguments presented by the banks during the proceedings. All data used is therefore derived from the file submitted for adversarial debate.</w:t>
      </w:r>
    </w:p>
    <w:p>
      <w:r>
        <w:t> The assessment of the average cash loss per check drawn (P):</w:t>
      </w:r>
    </w:p>
    <w:p>
      <w:r>
        <w:t>478. The average cash loss per check drawn corresponds, for each bank, to the product of the average amount of checks drawn from which it was deprived for the purpose of investment for its own account (T), the duration of the acceleration of interbank settlement (A, expressed in business days), and consequently, the debit of checks on the accounts of the issuers, and the interest rate (i) at which it could invest these amounts for its own benefit.</w:t>
      </w:r>
    </w:p>
    <w:p>
      <w:r>
        <w:t>The amounts from which banks were deprived for the purpose of investment for their own account due to the EIC (T):</w:t>
      </w:r>
    </w:p>
    <w:p>
      <w:r>
        <w:t>479. A portion of the amount of checks drawn did not result in a cash loss for the drawn bank due to the transition to the EIC, despite the acceleration of the debit of the bank allowed by the transition to the EIC: this includes, on the one hand, checks from clients whose account is overdrawn, and, on the other hand, checks from clients who optimize their cash management, that is to say, who fund their account at the last moment before the check is debited, meaning the bank cannot invest the corresponding amount for its own benefit. This latter case primarily concerns corporate clients of the banks.</w:t>
      </w:r>
    </w:p>
    <w:p>
      <w:r>
        <w:rPr>
          <w:b/>
        </w:rPr>
        <w:t>[Pages 94–96]</w:t>
      </w:r>
    </w:p>
    <w:p>
      <w:r>
        <w:t>480. Thus, the higher the proportion of overdrawn clients, the less significant the cash loss for the bank resulting from the transition to the EIC. This is even more true since, as the check is debited earlier, the bank will be able to charge interest to its overdrawn client more quickly (agios). Similarly, the higher the proportion of clients optimizing their cash flow at the time of issuance, the less significant the cash loss for the bank.</w:t>
      </w:r>
    </w:p>
    <w:p>
      <w:r>
        <w:t>481. These elements were not taken into account by the CIR.</w:t>
      </w:r>
    </w:p>
    <w:p>
      <w:r>
        <w:t>482. The amount T can be calculated using the following formula:</w:t>
        <w:br/>
        <w:t>T = average amount of checks drawn * proportion (in value) of creditor clients not optimizing their cash flow.</w:t>
      </w:r>
    </w:p>
    <w:p>
      <w:r>
        <w:t>483. The average amount of checks drawn, as well as the average amount of checks deposited, was communicated, for each bank, during the procedure (see point 3 above). Some banks did not provide data for the period 1999/2000, which is only relevant for assessing their incentives to transition to the EIC at the time of the CIR negotiations. In this case, it is appropriate to retain the oldest data present in the file.</w:t>
      </w:r>
    </w:p>
    <w:p>
      <w:r>
        <w:t>484. Generally speaking, it can be considered that cash flow optimization is carried out only by large companies that have a cash management service. The parties communicated during the procedure the distribution, in value, of checks drawn between businesses and individuals.</w:t>
      </w:r>
    </w:p>
    <w:p>
      <w:r>
        <w:t>485. The parties did not produce any evidence, nor did most of them provide any specific hypothesis, allowing for the evaluation of the proportion of client businesses issuing (or depositing) checks that optimize their cash flow. Similarly, the banks, with the exception of Crédit Agricole, did not provide any information allowing for the establishment, for each of them, of the proportion of individual check issuers with an overdrawn account.</w:t>
      </w:r>
    </w:p>
    <w:p>
      <w:r>
        <w:t>486. The parties argue that the proportion, in value, of clients optimizing their cash flow is higher at the time of deposit than at the time of issuance, since the depositing clients are mostly merchants, among whom are the large depositors, such as large retail companies, which have a cash management service.</w:t>
      </w:r>
    </w:p>
    <w:p>
      <w:r>
        <w:t>487. The economic studies of May 26, 2008, and October 30, 2009, produced by the parties, as well as the study conducted by the Microeconomix firm on behalf of HSBC, challenge any possibility for check issuers to optimize their cash flow, particularly because they cannot predict in advance whether the issued check will be interbank or intrabank (and thus debited earlier). However, cash flow optimization at the time of issuance can be carried out, for example, when the company negotiates with its bank a value date at issuance later than the settlement date, or if it issues a large volume of checks, using statistical cash management tools to estimate the expected date of debits.</w:t>
      </w:r>
    </w:p>
    <w:p>
      <w:r>
        <w:t>488. Furthermore, the economic study dated October 30, 2009, specifies that, in their vast majority, clients of Caisse d’Epargne did not manage their check issuances according to a cash flow optimization logic, with only 10.5%, in value, of checks issued by businesses corresponding to a clientele optimizing its cash flow. The same would apply to clients of Crédit Agricole, with only 20%, in value, of checks issued by businesses corresponding to a clientele optimizing its cash flow (point 146 of the study, reference 34980).</w:t>
      </w:r>
    </w:p>
    <w:p>
      <w:r>
        <w:t>489. On this point, several hypotheses will be tested for the estimation of the individual balance of each bank in order to respond to the parties' objection. However, it should be noted that the evaluations presented above by the banks are debatable, as they are based on the assumption that businesses optimizing their cash flow are those that have an account in a debit position.</w:t>
      </w:r>
    </w:p>
    <w:p>
      <w:r>
        <w:t>The acceleration of interbank settlement (A):</w:t>
      </w:r>
    </w:p>
    <w:p>
      <w:r>
        <w:t>490. The greater the acceleration of exchanges, the higher the cash loss for the bank, since this loss corresponds to the product of the placement of the amounts credited to the accounts of the check issuers, debited earlier, from which the bank was deprived during the duration corresponding to this acceleration.</w:t>
      </w:r>
    </w:p>
    <w:p>
      <w:r>
        <w:t>491. This acceleration was initially estimated between 1.1 and 1.6 business days by the CIR's restricted working group (reference 924). This estimate is likely overvalued as it does not take into account the existence of a category of large depositors, cashing in significant volumes of checks, who benefited from the acceleration of interbank settlement primarily for the compensation of "off-market" checks (see point 81), as they relied, before the EIC, on subcontractors working overnight to ensure that checks were exchanged by the next business day following the date of their issuance by the client.</w:t>
      </w:r>
    </w:p>
    <w:p>
      <w:r>
        <w:t>492. The parties did not provide any elements allowing for the assessment of the actual acceleration of interbank settlement observed in 2002. The economic studies dated May 26, 2008, and October 30, 2009, are based on the assumption of an acceleration of 1.2 business days.</w:t>
      </w:r>
    </w:p>
    <w:p>
      <w:r>
        <w:t>493. On this point, several hypotheses will be tested for the calculation of the individual balance of each bank in order to take into account the range of estimates made by the CIR.</w:t>
      </w:r>
    </w:p>
    <w:p>
      <w:r>
        <w:t>The placement rate of the concerned amounts (i):</w:t>
      </w:r>
    </w:p>
    <w:p>
      <w:r>
        <w:t>494. The annual interest rate taken into account by the CIR is 3%, which corresponds to a daily rate (i) of 0.012% (based on 250 business days per year). This assessment has not been challenged during the procedure.</w:t>
      </w:r>
    </w:p>
    <w:p>
      <w:r>
        <w:t>495. The average cash loss is then given by the following formula:</w:t>
        <w:br/>
        <w:t>P = T * A * i.</w:t>
      </w:r>
    </w:p>
    <w:p>
      <w:r>
        <w:t>The evaluation of the average cash gain per deposited check (G):</w:t>
      </w:r>
    </w:p>
    <w:p>
      <w:r>
        <w:t>496. The evaluation of the gain for the depositing party is symmetrical to the evaluation of the cash loss for the drawn party of the banks. The average cash gain per deposited check corresponds, for each bank, to the product of the average amount of deposited checks that it benefited from for placement for its own account (R), the duration of the acceleration of interbank settlement, and thus, the credit of the checks on the accounts of the beneficiaries (A, expressed in business days), and the daily interest rate at which it could place these amounts for its benefit (i).</w:t>
      </w:r>
    </w:p>
    <w:p>
      <w:r>
        <w:t>The amounts that banks benefited from for placement for their own account following the EIC (R):</w:t>
      </w:r>
    </w:p>
    <w:p>
      <w:r>
        <w:t>497. Symmetrically to the effect observed on the drawn party of the banks, checks from clients whose account is overdrawn or who optimize their cash flow did not result in a cash gain for the depositing bank due to the transition to the EIC (at least to the extent of the overdraft preceding the cashing of the check for the former).</w:t>
      </w:r>
    </w:p>
    <w:p>
      <w:r>
        <w:t>498. Thus, the higher the proportion of overdrawn clients, the less significant the cash gain for the depositing bank due to the transition to the EIC. Similarly, the higher the proportion of clients optimizing their cash flow at the time of issuance, the less significant the cash gain.</w:t>
      </w:r>
    </w:p>
    <w:p>
      <w:r>
        <w:t>499. The amount R can be calculated using the following formula:</w:t>
        <w:br/>
        <w:t>R = average amount of deposited checks * proportion (in value) of depositing clients whose account is in credit and who do not optimize their cash flow.</w:t>
      </w:r>
    </w:p>
    <w:p>
      <w:r>
        <w:t>500. These elements were not taken into account by the CIR, and the parties did not produce any evidence, nor did most of them provide any specific hypothesis, allowing for the evaluation of the concerned amounts. In these conditions, a reasonable hypothesis of 5% of overdrawn individual accounts will be tested, as well as several hypotheses regarding the proportion of clients optimizing their cash flow.</w:t>
      </w:r>
    </w:p>
    <w:p>
      <w:r>
        <w:t>501. The average cash gain per deposited check is then given by the following formula:</w:t>
        <w:br/>
        <w:t>G = R * A * i.</w:t>
      </w:r>
    </w:p>
    <w:p>
      <w:r>
        <w:t>The overall balance of the transition to the EIC without a compensatory mechanism:</w:t>
      </w:r>
    </w:p>
    <w:p>
      <w:r>
        <w:t>502. This balance corresponds to the difference between the gain and the cash loss of each bank, adjusted by the administrative gains generated by the transition to the EIC as well as the investments necessary for the implementation of the new system.</w:t>
      </w:r>
    </w:p>
    <w:p>
      <w:r>
        <w:t>The investments made for the transition to the EIC:</w:t>
      </w:r>
    </w:p>
    <w:p>
      <w:r>
        <w:t>503. Account should be taken of the initial investments made by banks to implement the EIC. The initial sunk investments made by either party, as well as the timeframes or constraints necessary for the commitment and profitability of an investment aimed at increasing the efficiency of a business, must indeed be taken into account for the purposes of the analysis carried out under Article 81, paragraph 3, EC (see in this regard the Commission's guidelines of April 27, 2004, referenced, point 44).</w:t>
      </w:r>
    </w:p>
    <w:p>
      <w:r>
        <w:t>504. The banks did not provide any assessment of the investments they made during the transition to the EIC, except for LCL (total investments of [75 – 100 million francs], amortized in an annual range of [25 – 50 million francs] reference 36523), BNP Paribas, HSBC, and the Banques Populaires. The latter three did not...</w:t>
      </w:r>
    </w:p>
    <w:p>
      <w:r>
        <w:rPr>
          <w:b/>
        </w:rPr>
        <w:t>[Pages 97–99]</w:t>
      </w:r>
    </w:p>
    <w:p>
      <w:r>
        <w:t>produced supporting documents for their estimates. The economic study of May 26, 2008, indicates that these investments would amount to "several million euros," reaching 20 million euros for certain banks (point 2.43).</w:t>
      </w:r>
    </w:p>
    <w:p>
      <w:r>
        <w:t>505. In this case, however, it would be appropriate to consider not the total amount of investments made for the transition to the EIC, but the net amount of investments that would have had to be made if the EIC had not materialized. Indeed, without the transition to the EIC, the duplication of the paper exchange system for the purpose of euro checks would have been necessary during the coexistence period of the two currencies, which would have been costly, as explained by the Banque de France in its hearing on July 1, 2008 (references 8998 et seq.).</w:t>
      </w:r>
    </w:p>
    <w:p>
      <w:r>
        <w:t>506. Under these conditions, it may be accepted not to take into account the initial investments made by the banks, of which it is not established that they were higher than the investments that would have been made without the transition to the EIC. Furthermore, while all banks, both drawee and presenting, had to make investments for the transition to the EIC, it can be considered that the meaning of the results, that is to say the position of the banks relative to each other in terms of economic balance, is not distorted by the absence of consideration of the initial investments, which deteriorates the balance of all banks without distinction.</w:t>
      </w:r>
    </w:p>
    <w:p>
      <w:r>
        <w:t>The average administrative gains per check:</w:t>
      </w:r>
    </w:p>
    <w:p>
      <w:r>
        <w:t>507. At the time of the CIR negotiations, the expected administrative gains from the transition to the EIC were estimated at 90 million euros per year for the entire banking sector (point 73), which corresponds to 2.7 euro cents per processed check.</w:t>
      </w:r>
    </w:p>
    <w:p>
      <w:r>
        <w:t>508. Some banks provided during the proceedings internal estimates regarding the expected administrative gains per check drawn (Gt) or issued (Gr) due to the transition to the EIC.</w:t>
      </w:r>
    </w:p>
    <w:p>
      <w:r>
        <w:t>509. The economic study of May 26, 2008, proposes an assessment of administrative gains ranging from 0.9 to 1.2 euro cents per check drawn (§ 2.42 et seq.). However, contrary to the calculations presented in this study, there is no need to deduct the amount of related commissions to assess the administrative gains recorded by the drawee banks. Indeed, these commissions, excluding the archiving commission, are only charged for a minority of check images, in the case of the circulation of the sticker, the rejection of the check image, an error by the SIT, or a request for fax, whereas the expected savings from dematerialization concern the standard processing of checks. Furthermore, some commissions compensate the presenting bank for the cost of an operation previously borne by the drawee bank. They therefore do not represent an additional cost for the drawee bank compared to the charges borne before the EIC, unless its costs were lower than the amount of the commission.</w:t>
      </w:r>
    </w:p>
    <w:p>
      <w:r>
        <w:t>510. The study of October 30, 2009, retains the hypothesis of an average efficiency gain of 2.7 euro cents per check drawn (point 35 of the study of October 30, 2009).</w:t>
      </w:r>
    </w:p>
    <w:p>
      <w:r>
        <w:t>The overall balance:</w:t>
      </w:r>
    </w:p>
    <w:p>
      <w:r>
        <w:t>511. The economic balance for each bank, of the transition to the EIC without a compensation mechanism, can be calculated according to the following formula:</w:t>
        <w:br/>
        <w:t>Balance without CEIC = number of checks drawn * (-T + Gt) + number of checks presented * (R + Gr)</w:t>
      </w:r>
    </w:p>
    <w:p>
      <w:r>
        <w:t>512. The economic balance for each bank, of the transition to the EIC with the CEIC of 4.3 euro cents, can be calculated according to the following formula:</w:t>
        <w:br/>
        <w:t>Balance with CEIC = Balance without CEIC + 0.043 * (number of checks drawn – number of checks presented)</w:t>
      </w:r>
    </w:p>
    <w:p>
      <w:r>
        <w:t>Simulation of individual balances of the transition to the EIC for the banks</w:t>
      </w:r>
    </w:p>
    <w:p>
      <w:r>
        <w:t>513. The balances carried out below, taking into account alternative calculation hypotheses, confirm the analysis concluding that there is no need for a fixed commission per transaction such as the CEIC to create the necessary incentives for the transition to the EIC. For reference, the balance of the transition to the EIC with CEIC, excluding the pass-through of this commission to clients, is presented in the tables below.</w:t>
      </w:r>
    </w:p>
    <w:p>
      <w:r>
        <w:t>514. The balance below is made by retaining the hypotheses of an acceleration of interbank settlement (A) of 1.4 business days, that is to say, the average estimate retained by the CIR, a proportion of individuals overdrawn of 5%, and a share (in value) of companies optimizing their treasury at issuance and presentation of 25%. Furthermore, the individual data communicated by the parties are retained regarding the number and average amount of checks issued and presented, the share of companies in the amounts drawn and issued, and the administrative gains. In the absence of communication, the hypothesis of an average administrative gain per check drawn of 2.7 euro cents is retained.</w:t>
      </w:r>
    </w:p>
    <w:p>
      <w:r>
        <w:t>(in millions of euros) Balance without CEIC Balance with CEIC at 4.3 c€</w:t>
        <w:br/>
        <w:t>Banques Populaires 18.4 11.6</w:t>
        <w:br/>
        <w:t>La Poste 2.3 21.6</w:t>
        <w:br/>
        <w:t>BNP 10.8 3.0</w:t>
        <w:br/>
        <w:t>Caisses d’Epargne 4.9 14.9</w:t>
        <w:br/>
        <w:t>Crédit Mutuel 5.6 6.7</w:t>
        <w:br/>
        <w:t>CIC 5.0 -0.1</w:t>
        <w:br/>
        <w:t>Crédit Agricole 7.9 17.8</w:t>
        <w:br/>
        <w:t>Crédit Lyonnais 13.6 9.5</w:t>
        <w:br/>
        <w:t>Crédit du Nord 3.5 1.1</w:t>
        <w:br/>
        <w:t>HSBC 0.9 -1.5</w:t>
        <w:br/>
        <w:t>Société Générale 3.5 1.1</w:t>
        <w:br/>
        <w:t>Total 76.4 85.8</w:t>
      </w:r>
    </w:p>
    <w:p>
      <w:r>
        <w:t>515. It appears from this table that:</w:t>
        <w:br/>
        <w:t>- none of the banks predominantly drawn in volume, namely La Poste, Crédit Agricole, Crédit Mutuel, and Caisses d’Epargne, experience a negative balance without a compensation mechanism. However, these are the ones that benefited from a fixed commission on each check presented;</w:t>
        <w:br/>
        <w:t>- the balance of HSBC, a predominantly presenting bank in volume, which was positive in the absence of CEIC (gain of 1 million euros per year), becomes...</w:t>
      </w:r>
    </w:p>
    <w:p>
      <w:r>
        <w:t>28 The data concerning the volumes of checks relate to the year 2002 (G-SIT), the average amounts of checks are calculated based on the amount communicated by the banks corresponding to the year closest to the year 2000 (i.e., the year of the CIR agreement), adjusted for inflation observed during the corresponding period.</w:t>
      </w:r>
    </w:p>
    <w:p>
      <w:r>
        <w:t>29 The data used have been processed to obtain homogeneous data for all banks and are reproduced in the annex of this decision; the figures presented are rounded to the nearest decimal.</w:t>
      </w:r>
    </w:p>
    <w:p>
      <w:r>
        <w:rPr>
          <w:b/>
        </w:rPr>
        <w:t>[Pages 100–102]</w:t>
      </w:r>
    </w:p>
    <w:p>
      <w:r>
        <w:t xml:space="preserve">négatif du seul fait de l’instauration de cette commission ; il en est de même pour le CIC ;  </w:t>
        <w:br/>
        <w:t xml:space="preserve">- the balance without CEIC of certain banks predominantly drawn in volume, such as Société Générale, Crédit du Nord, HSBC, or CIC, is less favorable than that of banks predominantly drawn in volume, such as Crédit Agricole or Crédit Mutuel.  </w:t>
        <w:br/>
        <w:t xml:space="preserve">516. The meaning of the results is not altered if one considers the hypothesis of an acceleration of the interbank settlement period of 1.2 business days, put forward by the banks in the economic study of October 30, 2009, which, as previously stated, reduces the cash losses on the part drawn by the banks as well as the gains on their part remitting. In such a hypothesis, all banks experience a positive balance excluding the compensation mechanism. Furthermore, the balance of HSBC becomes negative solely due to the establishment of the CEIC, changing from +1 to -1.4 million euros. The same applies to CIC, which changes from +4.8 to -0.2 million euros. Conversely, the balance of banks predominantly drawn in volume, positive excluding the compensation mechanism, improves significantly with the establishment of the CEIC.  </w:t>
        <w:br/>
        <w:t xml:space="preserve">517. The meaning of the results is also not altered if one considers the hypothesis of an acceleration of the interbank settlement period of 1.6 business days, which corresponds to the maximum envisaged by the CIR. As previously stated, a greater acceleration increases the cash losses on the part drawn by the banks as well as the gains on their part remitting. In such a hypothesis, all banks experience a positive balance excluding the compensation mechanism. The balance of banks predominantly drawn in volume thus improves due to the establishment of the CEIC, unlike that of banks predominantly remitting, with HSBC's balance becoming negative solely due to the establishment of the CEIC, amounting to -1.6 million euros.  </w:t>
        <w:br/>
        <w:t xml:space="preserve"> Study of the impact of cash optimization  </w:t>
        <w:br/>
        <w:t xml:space="preserve">518. An alternative balance can be established to take into account the argument presented by the banks in their observations, which assert that the number of companies optimizing their cash at issuance is lower than that of companies optimizing their cash at remittance, particularly since the population of remitting companies is different from that of drawn companies, and includes, in particular, large retail companies, which generally have a cash management service (see in this regard the economic study of March 9, 2010, attached to the parties' observations, points 30 et seq.).  </w:t>
        <w:br/>
        <w:t xml:space="preserve">519. The balance below is established using the same hypotheses as the previous balance (point 514), except for the share (in value) of companies optimizing their cash at issuance and the share (in value) of companies optimizing their cash at remittance, here evaluated at 10% and 40% respectively:  </w:t>
        <w:br/>
        <w:t>100</w:t>
      </w:r>
    </w:p>
    <w:p>
      <w:r>
        <w:t xml:space="preserve">(in millions of euros) Balance without CEIC Balance with CEIC at 4.3 c€  </w:t>
        <w:br/>
        <w:t xml:space="preserve">Banques Populaires 9.7 3.0  </w:t>
        <w:br/>
        <w:t xml:space="preserve">La Poste 1.7 21.0  </w:t>
        <w:br/>
        <w:t xml:space="preserve">BNP 5.6 -2.2  </w:t>
        <w:br/>
        <w:t xml:space="preserve">Caisses d’Epargne 2.8 12.7  </w:t>
        <w:br/>
        <w:t xml:space="preserve">Crédit Mutuel 3.3 4.4  </w:t>
        <w:br/>
        <w:t xml:space="preserve">CIC 1.1 -3.9  </w:t>
        <w:br/>
        <w:t xml:space="preserve">Crédit Agricole 2.0 12.0  </w:t>
        <w:br/>
        <w:t xml:space="preserve">Crédit Lyonnais 11.9 7.8  </w:t>
        <w:br/>
        <w:t xml:space="preserve">Crédit du Nord 1.1 -1.4  </w:t>
        <w:br/>
        <w:t xml:space="preserve">HSBC -1.5 -3.9  </w:t>
        <w:br/>
        <w:t xml:space="preserve">Société Générale -1.4 -3.7  </w:t>
        <w:br/>
        <w:t xml:space="preserve">Total 36.3 45.7  </w:t>
        <w:br/>
        <w:t xml:space="preserve">520. In the hypothesis studied, consistent with the arguments put forward by the banks:  </w:t>
        <w:br/>
        <w:t xml:space="preserve">- none of the banks predominantly drawn in volume, namely La Poste, Crédit Agricole, Crédit Mutuel, and Caisses d’Epargne, experiences a negative balance excluding the compensation mechanism;  </w:t>
        <w:br/>
        <w:t xml:space="preserve">- two banks have a negative balance excluding the compensation mechanism, namely HSBC and Société Générale, banks predominantly remitting in volume for which the establishment of the CEIC has the effect of increasing losses;  </w:t>
        <w:br/>
        <w:t xml:space="preserve">- three banks, predominantly remitting in volume, namely BNP, CIC, and Crédit du Nord, become unprofitable due to the CEIC paid to the banks predominantly drawn;  </w:t>
        <w:br/>
        <w:t xml:space="preserve">- the balance without CEIC of certain banks predominantly remitting in volume, such as Société Générale, Crédit du Nord, HSBC, or CIC, is less favorable than that of banks predominantly drawn in volume, such as Caisses d’Epargne or Crédit Mutuel.  </w:t>
        <w:br/>
        <w:t xml:space="preserve">Conclusion on the economic balance of the transition to the EIC  </w:t>
        <w:br/>
        <w:t xml:space="preserve">521. When participating in the CIR meetings, the banks likely did not individually conduct a balance based on such precise economic hypotheses. At the time they decided to create the EIC, the banks were therefore in a situation of uncertainty regarding the precise consequences, for them or for their competitors, of the transition to the EIC.  </w:t>
        <w:br/>
        <w:t xml:space="preserve">522. However, the simulations carried out above corroborate the findings resulting from the examination of the CIR working documents, as well as the internal estimates of the banks.  </w:t>
        <w:br/>
        <w:t>101</w:t>
      </w:r>
    </w:p>
    <w:p>
      <w:r>
        <w:t xml:space="preserve">523. Indeed, they are consistent with the internal estimates made by Crédit Agricole and Crédit Mutuel, banks predominantly drawn in volume, which had anticipated a net gain from the transition to the EIC (excluding consideration of the hypothesis of the disappearance of value dates, see point 443).  </w:t>
        <w:br/>
        <w:t xml:space="preserve">524. But above all, they also confirm that, regardless of the calculation hypotheses that could be retained by the CIR, the establishment of a fixed commission had extremely variable effects depending on the volumes and values of checks issued and remitted by each bank, resulting in the degradation of the balance of certain banks whose position resulting from the transition to the EIC in terms of cash balance was, however, less favorable than their competitors (such as HSBC or Société Générale), while conversely, some banks saw a particularly favorable balance further improve due to the establishment of the commission (case of Crédit Agricole or Caisse d’Epargne).  </w:t>
        <w:br/>
        <w:t xml:space="preserve">525. The inconsistency of the establishment of a fixed commission, in terms of individual incentives for banks to accept the transition to the EIC, is thus confirmed, as the banks predominantly drawn in checks in volume do not necessarily correspond to the banks predominantly drawn in checks in value. The CEIC contributes to degrading the balance of banks that issue a significant volume of checks in value and a significant remittance of checks in volume, such as HSBC, Société Générale, CIC, Crédit du Nord, and BNP. Furthermore, the CEIC has the effect of significantly improving the balance of the transition to the EIC for other banks that issue a significant volume of checks, already positive excluding the establishment of this commission.  </w:t>
        <w:br/>
        <w:t xml:space="preserve">The absence of review of the CEIC in 2004  </w:t>
        <w:br/>
        <w:t xml:space="preserve">526. The conditions for the transition to the EIC, and thus the establishment and amount of the CEIC, were to be subject to a review at the end of a three-year period. The minutes of the CIR meeting dated February 3, 2000, thus mention that “[the president of the CIR] specifies that the conditions proposed to the Commission will be applicable from January 1, 2002, valid for 3 years, that is to say until 31/12/2004, and proposes a meeting in the autumn of 2004 to set the conditions that will be applicable from 1/1/2005 based on a balance of the past 3 years and the observed evolution of balances compared to current balances.” (reference 942).  </w:t>
        <w:br/>
        <w:t xml:space="preserve">527. However, this commission, levied from January 1, 2002, was only abolished on October 4, 2007, with retroactive effect from July 1, 2007 (see point 128). The banks did not meet at the end of 2004 to review the conditions established in 2000 for the transition to the EIC. The abolition of the CEIC thus occurred in the context of the investigation launched by the services of the Competition Council, a few months before the notification of grievances dated March 14, 2008.  </w:t>
        <w:br/>
        <w:t xml:space="preserve">528. While the establishment of the CEIC resulted in an additional cost for banks predominantly remitting in volume, which was only partially compensated by the administrative gains derived from the system (see point 524), the parties do not explain the reasons why these banks did not request a renegotiation regarding the principle or level of the CEIC at the deadline set by the CIR, that is to say by the banks themselves.  </w:t>
        <w:br/>
        <w:t>529. When questioned in session about the reasons for maintaining the CEIC after January 1, 2005, the banks merely asserted that the CEIC was considered a “subject</w:t>
      </w:r>
    </w:p>
    <w:p>
      <w:r>
        <w:rPr>
          <w:b/>
        </w:rPr>
        <w:t>[Pages 103–105]</w:t>
      </w:r>
    </w:p>
    <w:p>
      <w:r>
        <w:t>system. Indeed, the costs incurred by the banks are not directly linked to the clients, which would lead to inefficiencies in the allocation of these costs.</w:t>
      </w:r>
    </w:p>
    <w:p>
      <w:r>
        <w:t>550. In conclusion, the necessity of the CSC is established by the need to ensure that the costs associated with banking operations are allocated to the parties responsible for those operations, thereby promoting accountability and efficiency within the payment system.</w:t>
      </w:r>
    </w:p>
    <w:p>
      <w:r>
        <w:t>On the economic progress</w:t>
      </w:r>
    </w:p>
    <w:p>
      <w:r>
        <w:t>551. The parties argue that, just as the creation of the CEIC, the establishment of the CSC has contributed to facilitating the transition from the old system of interbank check clearing to the dematerialized system of check image exchange.</w:t>
      </w:r>
    </w:p>
    <w:p>
      <w:r>
        <w:t>552. It has been demonstrated above (see points 399 et seq.) that the transition to the EIC constituted an economic and technical progress for check management in France.</w:t>
      </w:r>
    </w:p>
    <w:p>
      <w:r>
        <w:t>553. The dematerialization of the clearing system required, in order to reduce the processing costs of checks, to stop the physical circulation of checks as early as possible, specifically at the level of the presenting bank. Consequently, certain burdens, such as the archiving of checks, previously borne by the paying banks, were transferred to the presenting banks, with the CSC specifically aimed at compensating for this transfer of burdens.</w:t>
      </w:r>
    </w:p>
    <w:p>
      <w:r>
        <w:t>554. Furthermore, the dematerialization of checks resulted in the creation of new burdens for banks, such as the processing of returned check images and requests for fax sent by the paying bank to the presenting bank, or the processing of cancellations of wrongly cleared transactions via the SIT. To ensure the proper functioning of the EIC system, it therefore appeared necessary for the banks participating in the clearing operations to agree on the terms of cost sharing or compensation for the services rendered by one to another.</w:t>
      </w:r>
    </w:p>
    <w:p>
      <w:r>
        <w:t>555. The CSC aim to compensate for the costs incurred by a bank due to an operation initiated by another banking institution or by its client, and thus to transfer the financial burden of an operation to the parties responsible for the transaction in question (payer/paid bank pair or beneficiary/presenting bank pair). Such allocation notably encourages the actors in the check payment system to eliminate errors or payment incidents for which they are responsible, as they must bear the financial burden, and thus promotes efficient use of this payment method.</w:t>
      </w:r>
    </w:p>
    <w:p>
      <w:r>
        <w:t>556. In this regard, the European Commission acknowledges, in its working document "SEPA" dated October 30, 2009, that the application of an interbank commission may be justified by the objective of allocating costs to the party responsible for the transaction that caused them. It thus indicates, concerning "R transactions," i.e., transactions that cannot be executed normally (cases of transaction rejection, for example due to insufficient funds, revocation, formal error...): "The fees related to R transactions may be intended to allocate costs to the users of the system who have given rise to an R transaction. If system participants face the financial consequences of their own actions, they are exposed to adequate incentives to avoid errors, and financial contributions are then fairly distributed among users. In principle, the application of an ICM per R transaction can facilitate this allocation" (point 39).</w:t>
      </w:r>
    </w:p>
    <w:p>
      <w:r>
        <w:t>557. Thus, it is established that the CSC have contributed to the economic progress represented by the transition to a dematerialized system of interbank check clearing.</w:t>
      </w:r>
    </w:p>
    <w:p>
      <w:r>
        <w:t>On the necessity</w:t>
      </w:r>
    </w:p>
    <w:p>
      <w:r>
        <w:t>Regarding the indispensable nature of the CSC</w:t>
      </w:r>
    </w:p>
    <w:p>
      <w:r>
        <w:t>558. The parties argue that the CSC were indispensable to achieving the economic progress represented by the transition to the EIC, as it led to a decoupling between the responsibility for a transaction and its administrative burden, while the hypothesis of a bilateral negotiation of the amounts of related commissions faced the large number of actors in the check system, resulting in disproportionate transaction costs.</w:t>
      </w:r>
    </w:p>
    <w:p>
      <w:r>
        <w:t>The necessity of interbank commissions</w:t>
      </w:r>
    </w:p>
    <w:p>
      <w:r>
        <w:t>559. The necessity to adopt a system of interbank commissions to finance related operations is established, on the one hand, by the decoupling between the responsibility for a transaction and its administrative burden and, on the other hand, by the absence of an alternative method for compensating the costs incurred by banks.</w:t>
      </w:r>
    </w:p>
    <w:p>
      <w:r>
        <w:t>560. On the first point, it is necessary to verify that each commission aims to compensate for a service rendered by one bank to another and, consequently, to allocate the cost of the operation to the responsible party.</w:t>
      </w:r>
    </w:p>
    <w:p>
      <w:r>
        <w:t>561. The archiving of checks, previously borne by the paying banks, has been transferred to the presenting banks with the transition to the EIC. It can be considered that the payer/paid bank pair is responsible for this operation, as the archiving is carried out for each exchanged check independently of the consultation of the check image that may be made. The archiving commission, which aims to compensate for the cost of archiving performed by the presenting bank, allows for the transfer of the burden of the operation to the actors in the check system responsible for it.</w:t>
      </w:r>
    </w:p>
    <w:p>
      <w:r>
        <w:t>562. The commission for circulating checks is paid by the paying bank to the presenting bank in four cases: non-standard checks, checks circulating in accordance with the instructions of the paying bank, checks circulating under random circulation, and checks with an amount exceeding 5,000 euros. In the first two cases, the physical circulation of the check is directly attributable to the paying bank. In the last two cases, the circulation of checks results from the application of rules defined jointly by the banks, notably for the purposes of control and security of the EIC system. However, it can be considered that the cost related to the circulation of a high-value check should be borne by the payer who is responsible for its issuance. Thus, in the majority of cases, the payer/paid bank pair is responsible for the circulation of check vouchers. However, due to the dematerialization of check processing, it is the presenting bank that bears the burden of routing the check to the physical check exchange platform in Paris. The commission on circulating check images, which aims to compensate for the cost incurred by the presenting bank in such routing, allows for the transfer of the burden of the operation to the payer/paid bank pair, responsible for the operation.</w:t>
      </w:r>
    </w:p>
    <w:p>
      <w:r>
        <w:t>563. Returned check images are most often attributable to the payer/paid bank pair, responsible for issuing a check on an insufficiently funded or unavailable account, a stop payment on a check, or the issuance of a check irregular in form or fraudulent. However, due to the dematerialization of check processing, it is the presenting bank that bears the burden of performing the control between the returned check image generated by the SIT and the corresponding check voucher. The commission on returned check images paid by the paying bank thus compensates for the service rendered to it by the presenting bank.</w:t>
      </w:r>
    </w:p>
    <w:p>
      <w:r>
        <w:t>564. Requests for fax originate from the paying bank (if applicable at the request of the payer), but their burden falls on the presenting bank that archived the check. The commissions on fax requests, which aim to compensate for the search and fax costs incurred by the presenting bank, allow for the transfer of the burden of the operation to the payer/paid bank pair responsible for the operation.</w:t>
      </w:r>
    </w:p>
    <w:p>
      <w:r>
        <w:t>565. Finally, the commissions on the cancellation of a wrongly cleared operation (AOCT) compensate for the costs incurred by banks when they reverse an initial operation issued in error. The commission on the cancellation of a check image is paid by the presenting bank which, upon noticing such an error, requests the paying bank to cancel the wrongly cleared operation. The commission on the cancellation of a returned check image is paid by the paying bank which, having issued a wrongful rejection, requests the presenting bank to cancel this operation.</w:t>
      </w:r>
    </w:p>
    <w:p>
      <w:r>
        <w:t>566. According to the report of the restricted working group of the CIR concerning related operations of the Check Image Exchange dated December 28, 1999: "These are operations whose number can be reduced by thorough control of operations before their issuance. It is therefore normal that the institution that issues these operations, which impose a significant workload on the one receiving them, pays a commission per AOCT issued" (reference 1433). The AOCT commissions thus allow for the transfer of the burden of the operation to the bank that is responsible for the error made.</w:t>
      </w:r>
    </w:p>
    <w:p>
      <w:r>
        <w:t>567. Regarding the absence of an alternative compensation method, it should be noted that, given the characteristics of the check payment system, compensating the bank through a charge to its client does not allow for optimizing the allocation of costs related to related operations among users of the system.</w:t>
      </w:r>
    </w:p>
    <w:p>
      <w:r>
        <w:rPr>
          <w:b/>
        </w:rPr>
        <w:t>[Pages 106–108]</w:t>
      </w:r>
    </w:p>
    <w:p>
      <w:r>
        <w:t>the check system. Indeed, in the absence of a prolonged contractual relationship between the issuer of a check and its beneficiary, the presenters do not always have the ability to pass on the costs related to a related operation for which they are not responsible, for example in the case of issuing a check without sufficient funds. Regarding exceptional operations (error, rejection...), their cost cannot be easily passed on, for instance in the price of products sold by merchants. A private allocation of costs between payer and beneficiary being practically complex, if not impossible, only an interbank commission allows for the effective transfer of the financial burden of an operation to the party responsible for it.</w:t>
      </w:r>
    </w:p>
    <w:p>
      <w:r>
        <w:t>The necessity of multilateral commissions</w:t>
      </w:r>
    </w:p>
    <w:p>
      <w:r>
        <w:t>550. The necessity of adopting a system of multilateral commissions rather than bilateral commissions has been recognized by national and community competition authorities in the context of decisions regarding interchange fees.</w:t>
      </w:r>
    </w:p>
    <w:p>
      <w:r>
        <w:t>551. In its decision No. 88-D-37 mentioned above, GIE CB, the Competition Council noted that: "the definition by the grouping of the pricing conditions applicable between the institutions that are its members is necessary for the proper functioning of the interbank payment system; that in the absence of intervention by the grouping, indeed, each of its members would have to negotiate with all the others the amount of the remuneration it intends to receive in its capacity as a bearer bank; that the efficiency and profitability of the interbank card payment network would be compromised as would the economic progress that results from it; that the principle according to which the grouping defines the interchange pricing is therefore covered by 2° of Article 51 [now Article L.420-4 of the Commercial Code]".</w:t>
      </w:r>
    </w:p>
    <w:p>
      <w:r>
        <w:t>552. The reduction of negotiation and transaction costs has also been put forward by the European Commission to justify the essential nature of a multilateral interchange agreement in its aforementioned Visa decision of November 22, 2002. The Commission notes that, given these costs, "bilateral interchange fees would theoretically be possible but would likely result in higher and less transparent fees. This could lead to an increase in costs borne by merchants. This is why a MIF [multilateral interchange fee] by default is necessary for cases where two banks have not been able or have not attempted to reach a bilateral agreement" (recital 101).</w:t>
      </w:r>
    </w:p>
    <w:p>
      <w:r>
        <w:t>553. In the absence of a multilateral agreement on the distribution of new fees and on the compensation for the transfer of burdens between banks generated by the dematerialization of exchanges, the efficiency gains from the transition to the EIC would have been significantly diminished by the cost of negotiating bilateral commissions between each pair of banks. Indeed, bilateral negotiations would have resulted in the conclusion of a very large number of agreements (several hundred thousand), given the number of players involved, with any quantitative reassessment requiring the renegotiation of all these contracts.</w:t>
      </w:r>
    </w:p>
    <w:p>
      <w:r>
        <w:t>The necessity of fixed commissions</w:t>
      </w:r>
    </w:p>
    <w:p>
      <w:r>
        <w:t>554. The CSCs compensate for a service rendered by one bank to another, the cost of which is not related to the amount of the check issued, but corresponds to a fixed cost, the amount of which depends on the nature of the related operation performed by the bank. Thus, unlike a commission intended to compensate for cash flow imbalances, the unitary nature of the CSCs is justified, given their purpose.</w:t>
      </w:r>
    </w:p>
    <w:p>
      <w:r>
        <w:t>555. It follows from all of the above that the essential nature of the CSCs in order to achieve the expected efficiency gains is established.</w:t>
      </w:r>
    </w:p>
    <w:p>
      <w:r>
        <w:t>Regarding the proportionate amount of the CSCs</w:t>
      </w:r>
    </w:p>
    <w:p>
      <w:r>
        <w:t>556. In its decision No. 88-D-37 mentioned above, GIE CB, the Competition Council noted, in refusing to exempt the interbank commission established by the members of the grouping due to its contribution to economic progress, that the rate of this commission was uniformly applicable to all financial institutions regardless of their particular situation, and thus deemed non-compliant "with the objective of economic progress" the terms chosen for its definition, on the grounds that they effectively prevented the members of the grouping "from granting their merchant clientele commission rates based on objective criteria and which are in particular related to the efforts of merchants to reduce the risks of fraud and misuse".</w:t>
      </w:r>
    </w:p>
    <w:p>
      <w:r>
        <w:t>557. In the matter of interbank commissions, the European Commission also refers to the objectivity and transparency of the criteria used to determine their amount. In its Visa decision of November 22, 2002, it emphasizes that the level of the MIF under examination does not exceed "the cost of the specific services on which its calculation is based," as verified by a cost study conducted on a representative sample of Visa members and verified by an independent expert (point 92). In the GSA case, the Commission requested banks to periodically review the amount of interbank compensation based on the processing cost achieved by the most efficient bank, as evaluated by an independent expert (see the decision, GSA of October 21, 1999, point 30).</w:t>
      </w:r>
    </w:p>
    <w:p>
      <w:r>
        <w:t>558. In this regard, the parties emphasize the difficulty that calculating the costs corresponding to related services may have represented at the time of the establishment of the CSCs, insofar as, concerning new services related to the implementation of the EIC, banks could not have knowledge of the costs associated with these services in 1999.</w:t>
      </w:r>
    </w:p>
    <w:p>
      <w:r>
        <w:t>559. While it is true that the assessment of the actual costs related to operations financed by the CSCs could not be accurately performed in 1999, the CIR had planned to revise the conditions for the transition to the EIC, and thus the amount of the CSCs, at the end of a three-year period. Furthermore, Article 4.6.3 of the professional agreement on the exchange of image checks dated July 9, 2003, provided for the organization, at least every three years, and for the first time in the quarter following the adoption of the agreement, of a consultation regarding the amount of the CSCs "based on the costs estimated by a sample of contracting institutions considered representative by the signatories" (see point 125 above). However, this reassessment was only carried out in November 2007, with retroactive effect from July 1 of the same year, following a cost study commissioned from the firm Latham and Watkins for all CSCs, except for the commissions for the cancellation of an erroneously compensated operation AOCT (idem).</w:t>
      </w:r>
    </w:p>
    <w:p>
      <w:r>
        <w:t>560. With the exception of the commission for circulating checks, the amount of which was set at a level above the actual costs of the transaction for deterrent purposes, the amount of the CSCs was set following the 2007 reassessment by reference to the median cost borne by the banks.</w:t>
      </w:r>
    </w:p>
    <w:p>
      <w:r>
        <w:t>561. On this point, the Caisses d’Epargne argue that, concerning multilateral commissions, it is legitimate to set their level based on the average cost borne by all banks, lest it create too great a burden for the less efficient banks. Crédit Agricole and LCL emphasize that setting commissions at too low a level would have resulted in penalizing the least efficient presenting banks, which could have led to a refusal to assume this responsibility, and thus to the failure of the transition to the EIC.</w:t>
      </w:r>
    </w:p>
    <w:p>
      <w:r>
        <w:t>562. It is therefore necessary to examine what objective criteria can be retained for determining the amount of interbank commissions for services rendered within the framework of the operation of the check payment system.</w:t>
      </w:r>
    </w:p>
    <w:p>
      <w:r>
        <w:t>563. Due to the multi-faceted nature of the market, the CSCs represent both a cost borne by a bank that purchases the service from another, part of which, as noted above, may be passed on to the end customer, and a remuneration that one bank receives in return for providing a service to another. To the extent that the principle of joint determination of these commissions is accepted, it is important that their level is set in a way that minimizes the impact on customers and encourages banks to be efficient in providing these services. In particular, the passing on of commissions to consumers should not allow for inflation of the cost of the corresponding services.</w:t>
      </w:r>
    </w:p>
    <w:p>
      <w:r>
        <w:t>564. The method advocated by the European Commission in the GSA case is to set the commission based on the processing cost achieved by the most efficient bank. A commission level indexed to the cost of the most efficient bank is preferable, as it minimizes the impact on consumers by reducing the costs that may influence the level of prices charged to customers.</w:t>
      </w:r>
    </w:p>
    <w:p>
      <w:r>
        <w:t>565. Furthermore, the choice of reference cost has only a relatively limited impact on the incentives for banks to minimize the cost of providing the services corresponding to the various related commissions. Indeed, whether they are beneficiaries of the commissions or contributors, they are all incentivized to reduce the costs of these services, to increase their rent or limit their losses.</w:t>
      </w:r>
    </w:p>
    <w:p>
      <w:r>
        <w:t>566. It follows from the above that interbank commissions for services rendered must, except in special circumstances, be set by reference to the processing cost achieved by the most efficient bank.</w:t>
      </w:r>
    </w:p>
    <w:p>
      <w:r>
        <w:t>567. In the present case, given the new nature of the rule based on the cost of the most efficient bank, and as a measure of temperance, the proportionality of the CSCs will be accepted when it is established that they have been set at an average cost level (reference used by banks to set the amount of certain CSCs during the CIR negotiations) or median (reference used during the revision of the amount of commissions in 2007), subject to the examination of special circumstances (case of the commission on circulating image checks, the amount of which was set for deterrent purposes). It is indeed accepted that these reference costs facilitated the achievement of a consensus among the various economic actors regarding the level of the commission to be retained. However, it should be emphasized that the next periodic revision of the level of the CSCs should be an opportunity for banks to set it based on the cost of the most efficient bank.</w:t>
      </w:r>
    </w:p>
    <w:p>
      <w:r>
        <w:t>The commission for rejected image checks</w:t>
      </w:r>
    </w:p>
    <w:p>
      <w:r>
        <w:t>568. The commission for rejected image checks has been set at 3 euros by the CIR. Its amount remained unchanged during the 2007 revision.</w:t>
      </w:r>
    </w:p>
    <w:p>
      <w:r>
        <w:t>569. The parties argue that the fact that the amount of the commission remained unchanged following the evaluation by the firm Latham and Watkins in 2007 demonstrates that it was set at a level corresponding to the actual costs as early as 2002.</w:t>
      </w:r>
    </w:p>
    <w:p>
      <w:r>
        <w:rPr>
          <w:b/>
        </w:rPr>
        <w:t>[Pages 109–111]</w:t>
      </w:r>
    </w:p>
    <w:p>
      <w:r>
        <w:t>570. It follows from the above elements that the level of the commission corresponds to the median cost of the operation for banks, observed in 2007. Since no factor indicates that this cost would have varied between 2002 and 2007, it can be considered proportionate to the realization of the expected efficiency gains.</w:t>
      </w:r>
    </w:p>
    <w:p>
      <w:r>
        <w:t>The commissions for fax requests</w:t>
      </w:r>
    </w:p>
    <w:p>
      <w:r>
        <w:t>571. These three commissions were set by the CIR at 2.7 euros (fax one-sided); 3 euros (fax double-sided) and 7 euros (fax one-sided + original). Their amount was significantly reduced in 2007, and is now set at 1 euro for the first two commissions and 4.12 euros for the third.</w:t>
      </w:r>
    </w:p>
    <w:p>
      <w:r>
        <w:t>572. Crédit Agricole and LCL argue that the cost of providing a copy of the check to the drawer has increased due to the EIC: whereas the search was previously carried out by the drawee bank directly from the client's account statement, the presenting bank must now extract from its archives the relevant check deposit based on the reference of the clearing operation transmitted by the SIT. The cost of this service after the reform could not have been accurately assessed in 1999.</w:t>
      </w:r>
    </w:p>
    <w:p>
      <w:r>
        <w:t>573. The Banques Populaires, Crédit Agricole, and LCL further argue that the new downward adjustment of the amount of these commissions in 2007 is explained by the evolution of technologies, which has allowed for a reduction in the cost of fax services. They indicate that the generalization of digital archiving has automated the process of extraction and sending of the fax from a request transmitted by the SIT, thus reducing the costs of the operation that previously required manual handling from the paper archive of the check.</w:t>
      </w:r>
    </w:p>
    <w:p>
      <w:r>
        <w:t>574. The report of the restricted working group of the CIR concerning the related operations of the Check Image Exchange dated December 28, 1999, which proposed the setting of commissions for fax requests at the levels ultimately retained by the banks, specifies that: "The group considered that in general the workload incumbent on the presenting banker was of the same order of magnitude for an unpaid check as for a fax request. It suggests that the same price be set for all rejections and for fax requests, provided that the technical tools must allow for assigning distinct prices to these two operations if new facts arise" (reference 1432). At the time of the establishment of the EIC system, the operations carried out by the presenting bank during a fax request were therefore similar to those carried out in the case of the rejection of a check image.</w:t>
      </w:r>
    </w:p>
    <w:p>
      <w:r>
        <w:t>575. Under these conditions, the amount of the commissions for fax requests can be considered proportionate to the realization of the expected efficiency gains.</w:t>
      </w:r>
    </w:p>
    <w:p>
      <w:r>
        <w:t>The commissions for the cancellation of a wrongly cleared operation (AOCT)</w:t>
      </w:r>
    </w:p>
    <w:p>
      <w:r>
        <w:t>576. These commissions were set at 0.61 euro by the CIR. This amount was not subject to any review in the evaluation conducted in 2007.</w:t>
      </w:r>
    </w:p>
    <w:p>
      <w:r>
        <w:t>577. The parties argue that the amount of these commissions was set at the same level as that of the AOCT commissions related to other payment methods processed within the SIT, concerning similar operations.</w:t>
      </w:r>
    </w:p>
    <w:p>
      <w:r>
        <w:t>578. However, the amount of interbank commissions cannot be set by analogy, but must, as emphasized above (points 556 et seq.), be determined based on objective criteria based on the costs of the services rendered. Thus, the fact that the amount of the commissions is common to all AOCT operations does not demonstrate its proportionality, in the absence of any justification from the banks regarding the methods that led to the determination of this amount.</w:t>
      </w:r>
    </w:p>
    <w:p>
      <w:r>
        <w:t>579. Under these conditions, the banks do not demonstrate the proportionality of the amount of the AOCT commissions charged since January 1, 2002. Therefore, these commissions are not eligible for the exemption provided for in Articles 81, paragraph 3, EC and L. 420-4 of the Commercial Code.</w:t>
      </w:r>
    </w:p>
    <w:p>
      <w:r>
        <w:t>The archiving commission</w:t>
      </w:r>
    </w:p>
    <w:p>
      <w:r>
        <w:t>580. This commission was set at 0.003 euro (0.019 F) by the CIR. While it was deducted from the CEIC, this commission was abolished on July 1, 2007, without this abolition being justified by the banks.</w:t>
      </w:r>
    </w:p>
    <w:p>
      <w:r>
        <w:t>581. The Banque de France argues that the amount of the commission corresponds to the average cost of archiving.</w:t>
      </w:r>
    </w:p>
    <w:p>
      <w:r>
        <w:t>582. The report concerning the related operations of the Check Image Exchange dated December 28, 1999, specifies that the cost of archiving observed for the institutions members of the restricted working group of the CIR "is between 0.01 and 0.03 F per check" (reference 1430).</w:t>
      </w:r>
    </w:p>
    <w:p>
      <w:r>
        <w:t>583. Under these conditions, the amount of the archiving commission can be considered proportionate to the realization of the expected efficiency gains.</w:t>
      </w:r>
    </w:p>
    <w:p>
      <w:r>
        <w:t>The commission on circulating check images</w:t>
      </w:r>
    </w:p>
    <w:p>
      <w:r>
        <w:t>584. This commission was set at 0.15 euro by the CIR. Its amount was reduced to 0.12 euro in 2007.</w:t>
      </w:r>
    </w:p>
    <w:p>
      <w:r>
        <w:t>585. The parties argue that they chose a deterrent pricing, based on the costs of the least efficient banks. They explain that the commission for circulating checks is not only intended to cover the cost incurred by the presenting banks but also to deter the drawee banks from returning circulating checks, in order to ensure the efficiency of the system. Crédit Agricole and LCL explain that the circulation of stickers remained possible after the EIC, even for checks that met the system's standards, at the request of the drawee bank or at the initiative of the presenting bank under random circulation. The first years of the implementation of the EIC would have been characterized by a significant rate of circulating checks compared to what is currently observed, demonstrating the need for a deterrent mechanism.</w:t>
      </w:r>
    </w:p>
    <w:p>
      <w:r>
        <w:t>586. The report concerning the related operations of the Check Image Exchange dated December 28, 1999, thus specifies that the amount of the commission "corresponds to the high end of the range of costs observed in the institutions, but it is a voluntary choice to prevent the number of circulating checks from becoming too large" (reference 1431). During the 2007 review, the banks chose to set the amount of the commission at the level of the median cost (the cost of the least efficient bank being 0.25 euro).</w:t>
      </w:r>
    </w:p>
    <w:p>
      <w:r>
        <w:t>587. The banks' choice is justified, insofar as a commission set at an initially deterrent level allowed for encouraging the actors of the system to avoid the circulation of stickers, contrary to the very purpose of the EIC which established the dematerialization of checks, and which generates costs. A commission set at a deterrent level thus allowed, within the framework of the launch phase of the EIC, to maximize the efficiency gains produced by the new system. Furthermore, the level set by the CIR in 2000 is not excessive as it did not exceed the actual cost observed in certain institutions. At the end of the transitional launch phase of the EIC, and once the objective of reducing the circulation of stickers was achieved, it was justified for the banks to set the level of the commission according to the benchmark of the median cost adopted for other CSC.</w:t>
      </w:r>
    </w:p>
    <w:p>
      <w:r>
        <w:t>588. It follows from the above elements that the level of the commission for circulating checks set by the CIR was proportionate to the realization of the expected efficiency gains.</w:t>
      </w:r>
    </w:p>
    <w:p>
      <w:r>
        <w:t>589. It follows from all of the above that the CSC, with the exception of the AOCT commissions whose amount was set according to criteria foreign to the objectives pursued by the agreement under examination, were reasonably necessary for the realization of the expected efficiency gains.</w:t>
      </w:r>
    </w:p>
    <w:p>
      <w:r>
        <w:t>On the sharing of profits</w:t>
      </w:r>
    </w:p>
    <w:p>
      <w:r>
        <w:t>590. The parties argue that a fair share of the gains obtained by banks from the transition to the EIC, to which the CSC contributed, has been passed on to consumers in the form of an acceleration of the crediting of customers' bank accounts upon the deposit of checks, and increased security of check transactions.</w:t>
      </w:r>
    </w:p>
    <w:p>
      <w:r>
        <w:t>591. It follows from the above that the CSC were necessary for the realization of the efficiency gains corresponding, on the one hand, to the savings in negotiation and transaction costs of bilateral commissions, and, on the other hand, to the optimization of the allocation of costs of the check payment system among the users of this system.</w:t>
      </w:r>
    </w:p>
    <w:p>
      <w:r>
        <w:t>592. According to the European Commission's guidelines concerning the application of Article 81, paragraph 3, of the Treaty, previously cited: "The second condition of Article 81, paragraph 3, incorporates a sliding scale. The greater the restriction of competition found in relation to Article 81, paragraph 1, the greater the efficiency gains and their pass-through to consumers must be. This approach of the sliding scale assumes that if the restrictive effects of an agreement are relatively limited and the efficiency gains substantial, there is a strong likelihood that a fair share of the cost reductions will be passed on to consumers. That is why, in this case, it is generally not necessary to engage in a detailed analysis of the second condition of Article 81, paragraph 3, provided that the other three conditions for the application of this provision are met" (point 90).</w:t>
      </w:r>
    </w:p>
    <w:p>
      <w:r>
        <w:t>593. In this case, it can be emphasized that the CSC only concern operations related to the check clearing system, and are therefore not charged for the majority of transactions carried out within the framework of the new EIC system. Furthermore, regarding remuneration for services rendered, the restrictive effects on competition are limited to the impossibility for each bank to negotiate individually with its competitors a lower commission level when its costs are below the median cost, thus depriving its clients of the possibility of benefiting from more competitive rates, as the CSC are ultimately passed on in whole or in part to the users of the check system.</w:t>
      </w:r>
    </w:p>
    <w:p>
      <w:r>
        <w:t>594. Regarding the efficiency gain derived from the optimization of cost allocation among the users of the system, it can be considered that the CSC, with the exception of the AOCT, reserve a fair share of the resulting profit for consumers insofar as their amount is based on objective and transparent criteria and does not exceed the cost of the service rendered, as emphasized above. This analysis corresponds in particular to...</w:t>
      </w:r>
    </w:p>
    <w:p>
      <w:r>
        <w:rPr>
          <w:b/>
        </w:rPr>
        <w:t>[Pages 112–114]</w:t>
      </w:r>
    </w:p>
    <w:p>
      <w:r>
        <w:t>C, with the exception of AOCT, reserve a fair share of the resulting profit for consumers insofar as their amount is based on objective and transparent criteria and does not exceed the cost of the service rendered, as highlighted above. This analysis corresponds in particular to that developed by the European Commission in the Visa decision of November 22, 2002 (see recital 92 of the decision).</w:t>
      </w:r>
    </w:p>
    <w:p>
      <w:r>
        <w:t>595. Regarding the cost savings from bilateral transactions, it can also be considered that the CSC reserve a fair share of the resulting profit for consumers. Indeed, in the case of bilateral negotiations, transaction costs may be passed on to consumers, either directly through an increase in fees charged to customers, or indirectly, through an increase in the price of other banking services (cross-subsidization). The absence of passing on bilateral transaction costs represents for consumers a gain likely greater than any potential surcharges related to the inability of the bank paying the multilateral commission to set the price of its services based solely on its individual costs when they are below the level of the commission.</w:t>
      </w:r>
    </w:p>
    <w:p>
      <w:r>
        <w:t>596. It follows from the above that the CSC should be regarded as reserving a fair share of the expected efficiency gains for users of the check system.</w:t>
      </w:r>
    </w:p>
    <w:p>
      <w:r>
        <w:t>On the absence of elimination of competition</w:t>
      </w:r>
    </w:p>
    <w:p>
      <w:r>
        <w:t>597. Competition among banks has not been eliminated in the markets for the issuance and collection of checks by the establishment of the CSC. Indeed, the CSC do not directly regulate the relationships between banks and their clients, and banks remain free to determine the terms and level of remuneration they charge their clients for check issuance and collection services. Banks paying the commissions remain free to pass on all or part of the costs corresponding to the CSC to their clients and can compete on other pricing elements of check issuance and collection services.</w:t>
      </w:r>
    </w:p>
    <w:p>
      <w:r>
        <w:t>Conclusion on the CSC</w:t>
      </w:r>
    </w:p>
    <w:p>
      <w:r>
        <w:t>598. It follows from all of the above that the commissions on image-check rejection, commissions on fax requests, the commission for archiving, and the commission on circulating image-checks may benefit from the exemption provided by Articles 81, paragraph 3, EC and L. 420-4 of the Commercial Code.</w:t>
      </w:r>
    </w:p>
    <w:p>
      <w:r>
        <w:t>599. Conversely, the AOCT commissions are not eligible for the exemption provided by Articles 81, paragraph 3, EC and L. 420-4 of the Commercial Code, as the banks have not demonstrated that their amount was proportionate to the realization of the expected efficiency gains.</w:t>
      </w:r>
    </w:p>
    <w:p>
      <w:r>
        <w:t>D. ON THE ATTRIBUTION OF PRACTICES</w:t>
      </w:r>
    </w:p>
    <w:p>
      <w:r>
        <w:t>1. ON THE ATTRIBUTION OF PRACTICES TO LA BANQUE POSTALE</w:t>
      </w:r>
    </w:p>
    <w:p>
      <w:r>
        <w:t>600. La Banque Postale argues that the grievances retained could not be notified to it, as it has only existed under its name and for its corporate purpose since 2005, a date subsequent to the CIR meetings.</w:t>
      </w:r>
    </w:p>
    <w:p>
      <w:r>
        <w:t>a) The applicable law</w:t>
      </w:r>
    </w:p>
    <w:p>
      <w:r>
        <w:t>601. The rules developed by national and community case law governing the attribution of infringements in competition law in the event of corporate restructuring rely on the principle of personal liability, supplemented by the criterion of economic continuity.</w:t>
      </w:r>
    </w:p>
    <w:p>
      <w:r>
        <w:t>602. When a legal entity infringes competition rules, it is incumbent upon it, according to the principle of personal liability, to answer for this infringement (see, in this sense, the judgments of the Court of Justice of July 8, 1999, Commission/Anic Partecipazioni, C-49/92 P, Rec. p. I-4125, point 145, and of November 16, 2000, Cascades/Commission, C-279/98 P, Rec. p. I-9693, point 78).</w:t>
      </w:r>
    </w:p>
    <w:p>
      <w:r>
        <w:t>603. A legal entity that is not the author of the infringement may nevertheless be sanctioned for it under certain circumstances, based on the criterion of economic continuity. Indeed, "if no other possibility of imposing the sanction on an entity other than the one that committed the infringement were provided, companies could escape sanctions simply because their identity had been changed due to restructuring, transfers, or other legal or organizational changes. The objective of repressing behaviors contrary to competition rules and preventing their recurrence through deterrent sanctions would thus be compromised" (judgment of the Court of Justice of December 11, 2007, ETI e.a., C-280/06, Rec. p. I-10893, point 41).</w:t>
      </w:r>
    </w:p>
    <w:p>
      <w:r>
        <w:t>604. This is the case when the person who committed the infringement has ceased to exist legally after the commission of the infringement (see the judgment Commission/Anic Partecipazioni, cited above, point 145). According to the case law of the national courts of review: "the sanctions provided for in Article L. 464-2 of the Commercial Code are applicable to companies that are authors of the prohibited anti-competitive practices (...), when the person who operated the company has ceased to exist legally before being called to account, the practices are attributed to the legal entity to which the company has been legally transferred, and, in the absence of such a transfer, to the one that ensures its economic and functional continuity in fact" (judgment of the Paris Court of Appeal of January 14, 2009, Eurelec; see also the judgment of the Court of Cassation of November 20, 2001, société Bec Frères).</w:t>
      </w:r>
    </w:p>
    <w:p>
      <w:r>
        <w:t>605. This is also the case when the person who committed the infringement has ceased to exist economically after the commission of the infringement (see, in this sense, the judgments of the Court of Justice, Aalborg Portland/Commission, cited above, points 355 to 359, and ETI, cited above, points 41 to 52). The Court of Justice emphasizes: "In this regard, it should be considered that a sanction imposed on a company that continues to exist legally but no longer engages in economic activities risks being devoid of a deterrent effect" (judgment ETI, cited above, point 40).</w:t>
      </w:r>
    </w:p>
    <w:p>
      <w:r>
        <w:t>606. In this second hypothesis, the community judge clarified that "when two entities constitute the same economic entity, the fact that the entity that committed the infringement still exists does not prevent, in itself, the entity to which it has transferred its economic activities from being sanctioned. In particular, such enforcement of the sanction is admissible when these entities have been under the control of the same person and have, given the close ties that unite them economically and organizationally, essentially applied the same commercial directives" (same judgment, points 48 and 49). This case law is based on the fact that competition law targets the activities of companies, and that the notion of a company, as defined by community case law, includes any entity engaging in economic activity, regardless of the legal status of that entity and its mode of financing. In the ETI case, the new operator was sanctioned, even though the former operator had not ceased to exist legally and had retained economic activity in another economic sector, as the two entities were owned and placed under the supervision of the same public authority.</w:t>
      </w:r>
    </w:p>
    <w:p>
      <w:r>
        <w:t>607. Thus, the criterion of economic continuity applies not only "in cases where the legal entity responsible for the operation of the company has ceased to exist legally after the commission of the infringement" but also "in cases of internal restructuring of a company when the initial operator does not necessarily cease to have a legal existence but no longer engages in economic activity in the relevant market and considering the structural links between the initial operator and the new operator of the company" (judgment of the Tribunal of September 30, 2009, Hoechst/Commission, T-161/05, not yet published in the Recueil, point 52).</w:t>
      </w:r>
    </w:p>
    <w:p>
      <w:r>
        <w:t>608. The attribution to the new operator of an infringement committed by the former operator is a possibility that, under certain circumstances, the case law recognizes for the competition authority, and not an obligation (same judgment, point 64).</w:t>
      </w:r>
    </w:p>
    <w:p>
      <w:r>
        <w:t>b) Assessment in this case</w:t>
      </w:r>
    </w:p>
    <w:p>
      <w:r>
        <w:t>609. In this case, the creation of interbank commissions levied for the clearing of checks in the EIC system and the determination of their amount were decided jointly by the banks during the CIR meeting of February 3, 2000, at which the representative of La Poste was present (see points 76 above). The agreement was then implemented by La Poste until the transfer of its banking activities to its subsidiary La Banque Postale under the banking activities of this public establishment. La Banque Postale was created in December 2005 by changing the name of the company Efiposte, a subsidiary of La Poste that was engaged in the receipt, transmission, and execution of financial orders, and by extending its corporate purpose to banking operations. It is this entity that has, without La Poste contesting it, implemented the disputed agreement since December 2005.</w:t>
      </w:r>
    </w:p>
    <w:p>
      <w:r>
        <w:t>610. According to the aforementioned community case law, the fact that La Poste has not ceased to exist legally does not prevent La Banque Postale from being sanctioned for the infringements in question committed by La Poste before 2005, since, on the one hand, the latter no longer engages in activity in the check market concerned by this procedure and, on the other hand, there are structural links between La Poste and La Banque Postale. The situation of La Banque Postale is entirely comparable to that of the companies involved in the ETI case. Indeed, following the internal restructuring of this public establishment that occurred in 2005, La Poste, although it has not ceased to have a legal existence and has retained activity in another economic sector, transferred all of its banking activities to its subsidiary La Banque Postale. Furthermore, it should be noted that La Poste holds the entirety of the capital of La Banque Postale, the two companies being presumed to constitute the same enterprise within the meaning of competition law. Finally, at the time of the creation of La Banque Postale, both entities were owned by the State and placed under the supervision of the same public authority, the minister responsible for the economy.</w:t>
      </w:r>
    </w:p>
    <w:p>
      <w:r>
        <w:t>611. Moreover, it should be noted that the attribution of the practices in question to La Banque Postale is not likely to infringe the rights of defense of this company, as...</w:t>
      </w:r>
    </w:p>
    <w:p>
      <w:r>
        <w:rPr>
          <w:b/>
        </w:rPr>
        <w:t>[Pages 115–117]</w:t>
      </w:r>
    </w:p>
    <w:p>
      <w:r>
        <w:t>611. Furthermore, it should be noted that the attribution of the practices in question to La Banque Postale does not undermine the rights of defense of this company, since it has received the notification of the charges and has been able to present its observations in accordance with the provisions of Article L. 463-2 of the Commercial Code. Finally, this attribution is not prejudicial to the interests of the company, since the ceiling of the sanction incurred is, according to Article L. 464-2 of the Commercial Code, the consolidated turnover excluding taxes of the group, which, in this case, is the turnover of the La Poste group, within which the accounts of La Banque Postale are consolidated.</w:t>
      </w:r>
    </w:p>
    <w:p>
      <w:r>
        <w:t>612. It follows from the above that it is up to La Banque Postale to respond to the charge that has been notified to it.</w:t>
      </w:r>
    </w:p>
    <w:p>
      <w:r>
        <w:t>2. ON THE ATTRIBUTION OF PRACTICES TO LCL</w:t>
      </w:r>
    </w:p>
    <w:p>
      <w:r>
        <w:t>613. Crédit Agricole and LCL argue that the practices in question cannot be attributed to LCL as of June 19, 2003, the date of its acquisition by Crédit Agricole SA. The same banks assert that LCL can no longer be considered an autonomous entity since that date, given that Crédit Agricole SA holds all of its capital and that the majority of the members of LCL's governing bodies hold responsibilities within the Crédit Agricole group and Crédit Agricole SA.</w:t>
      </w:r>
    </w:p>
    <w:p>
      <w:r>
        <w:t>614. It follows from community case law that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 absence of autonomous behavior is presumed when a parent company holds all of the capital of its subsidiary. In this case, the competition authority is "subsequently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(see the judgment of the Court of Justice of September 10, 2009, Akzo Nobel e.a./Commission, C-97/08, not yet published in the Reports, paragraphs 58 to 61).</w:t>
      </w:r>
    </w:p>
    <w:p>
      <w:r>
        <w:t>615. The Court of Justice has also clarified that when the company that committed the practices is absorbed by a group within which it continues, as a subsidiary, to carry out the activity in the context of which the practices were committed, it must itself be held accountable for its infringing behavior prior to the absorption (see the judgment Cascades/Commission, cited above, paragraph 79).</w:t>
      </w:r>
    </w:p>
    <w:p>
      <w:r>
        <w:t>616. In this case, the conclusion of the agreement of February 3, 2000, and its implementation until June 19, 2003, are attributable to LCL, since this company continues, as a subsidiary of Crédit Agricole SA, to engage in the banking activity in the context of which the practices were committed.</w:t>
      </w:r>
    </w:p>
    <w:p>
      <w:r>
        <w:t>617. Crédit Agricole SA acquired all of LCL's capital on June 19, 2003. In these circumstances, and while it is argued that from that date, LCL no longer autonomously determines its behavior in the market, Crédit Agricole SA will be considered jointly liable for the payment of the fine imposed on its subsidiary for the implementation of the agreement for the period after June 19, 2003.</w:t>
      </w:r>
    </w:p>
    <w:p>
      <w:r>
        <w:t>3. ON THE ATTRIBUTION OF PRACTICES TO BPCE</w:t>
      </w:r>
    </w:p>
    <w:p>
      <w:r>
        <w:t>618. When the person who committed the offense has ceased to exist legally after the commission of the offense, the practices are attributed to the legal entity to which the company has been legally transferred (see the judgment of the Paris Court of Appeal, Eurelec, cited above, paragraph 604).</w:t>
      </w:r>
    </w:p>
    <w:p>
      <w:r>
        <w:t>619. It follows that in the case of a merger-absorption of the legal entity, the practices must be attributed to the company that succeeds, legally, to the company that committed the practices, that is to say, the absorbing company (see, in this sense, decision No. 07-D-11 of March 28, 2007, concerning practices implemented during public procurement for road works carried out by the General Council of Marne, the city of Reims, and the district of Reims, paragraph 97).</w:t>
      </w:r>
    </w:p>
    <w:p>
      <w:r>
        <w:t>620. In this case, the Banque Fédérale des Banques Populaires (which became BP Participations in 2009) and the Caisse Nationale des Caisses d’Epargne (which became CE Participations in 2009) were merged and absorbed on August 5, 2010, by the public limited company Banques Populaires Caisses d’Epargne (BPCE), as noted by the banks concerned. The practices implemented by the Banque Fédérale des Banques Populaires and by the Caisse Nationale des Caisses d’Epargne must therefore be attributed to BPCE.</w:t>
      </w:r>
    </w:p>
    <w:p>
      <w:r>
        <w:t>E. ON SANCTIONS</w:t>
      </w:r>
    </w:p>
    <w:p>
      <w:r>
        <w:t>1. ON THE PROTECTION OF THE LEGITIMATE EXPECTATION OF THE PARTIES</w:t>
      </w:r>
    </w:p>
    <w:p>
      <w:r>
        <w:t>621. Crédit Mutuel and CIC argue that the application of a sanction would be contrary to the principle of legitimate expectation. The same banks assert that the absence of reaction from the DGCCRF following the exchanges that took place during the year 2002 with representatives of the banking sector regarding the establishment of the CEIC created a legitimate expectation among the banks regarding the legality of this commission.</w:t>
      </w:r>
    </w:p>
    <w:p>
      <w:r>
        <w:t>622. However, the conditions for applying the principle of community law regarding the protection of legitimate expectation are particularly strict. According to community case law, the right to invoke this principle extends to any individual who finds themselves in a situation from which it appears that the administration has raised founded hopes in them. No one can invoke a violation of this principle in the absence of precise, unconditional, and consistent assurances from authorized and reliable sources provided by the administration (see, for example, for an application of this principle to competition law, the judgments of the Tribunal of April 30, 2009, Nintendo, T-13/03, not yet published in the Reports, paragraph 203, and of April 29, 2004, Tokai Carbon e.a., T-236/01, T-239/01, T-244/01 to T-246/01, T-251/01 and T-252/01, Rec. p. II-1181, paragraph 152).</w:t>
      </w:r>
    </w:p>
    <w:p>
      <w:r>
        <w:t>623. In this case, by refraining from following up on the exchanges that took place with the banks during the year 2002, the DGCCRF, which was not competent to qualify anti-competitive practices, did not provide any precise, unconditional, and consistent assurances capable of generating a legitimate expectation among the banks. The argument based on the violation of the principle of protection of legitimate expectation must therefore be dismissed.</w:t>
      </w:r>
    </w:p>
    <w:p>
      <w:r>
        <w:t>2. ON THE CEILING OF SANCTIONS</w:t>
      </w:r>
    </w:p>
    <w:p>
      <w:r>
        <w:t>a) On the applicable law</w:t>
      </w:r>
    </w:p>
    <w:p>
      <w:r>
        <w:t>624. I of Article L. 464-2 of the Commercial Code, in its wording resulting from Law No. 2001-420 of May 15, 2001, relating to new economic regulations (hereinafter the "NRE Law") provides that "[i]f the offender is not a company, the maximum amount of the sanction is 3 million euros. The maximum amount of the sanction is, for a company, 10% of the highest consolidated turnover excluding taxes achieved during one of the fiscal years closed since the fiscal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625. When the practices identified constitute a continuous practice, begun prior to and completed after the entry into force of the NRE Law and the Competition Council was seized after this entry into force, the applicable provisions are those of the NRE Law (see in this regard the judgment of the Court of Cassation of March 14, 2006, SAS Privileg).</w:t>
      </w:r>
    </w:p>
    <w:p>
      <w:r>
        <w:t>626. In this case, the ex officio referral of the Competition Council dated April 29, 2003, is subsequent to the entry into force of the NRE Law. This referral concerns a practice established by the agreement of February 3, 2000, concluded within the CIR, which was implemented until July 1, 2007, regarding the collection of the CEIC, and which is still applied, regarding the collection of AOCT commissions. The provisions of the NRE Law are therefore applicable.</w:t>
      </w:r>
    </w:p>
    <w:p>
      <w:r>
        <w:t>b) On the relevant turnover for the application of the legal ceiling</w:t>
      </w:r>
    </w:p>
    <w:p>
      <w:r>
        <w:t>627. Société Générale, Crédit Agricole, LCL, Banques Populaires, BNP, and HSBC argue that, given the specificities of their activity, it is appropriate to take into account the "net banking income," a figure that would come closest to the notion of turnover for the banking sector.</w:t>
      </w:r>
    </w:p>
    <w:p>
      <w:r>
        <w:t>628. Crédit Agricole and LCL argue that using gross banking income as the basis for calculating a potential sanction would have the consequence, particularly concerning interest rate swap operations, of taking into account the interest received without considering the interest paid in return, whereas the income from such operations corresponds only to the difference between interest paid and received. They indicate that in 2008, LCL recorded 9499 billion euros in interest received (included in its gross banking income) from swap operations, whereas the net income from these operations is only 243 billion euros.</w:t>
      </w:r>
    </w:p>
    <w:p>
      <w:r>
        <w:t>629. The section relating to the turnover of certain credit institutions, due to their specific accounting and tax characteristics, is either not filled out, as is the case for the Caisses d’Epargne, or contains financial amounts that are very much lower than the amount of turnover they mention elsewhere. In this case, it is appropriate to take into account a figure adapted to the specificities of the banking sector to assess the ceiling of the sanction within the meaning of the aforementioned Article L. 464-2 of the Commercial Code.</w:t>
      </w:r>
    </w:p>
    <w:p>
      <w:r>
        <w:t>630. Net banking income is obtained by the difference between banking operating income and expenses excluding interest on doubtful debts but including allocations...</w:t>
      </w:r>
    </w:p>
    <w:p>
      <w:r>
        <w:rPr>
          <w:b/>
        </w:rPr>
        <w:t>[Pages 118–120]</w:t>
      </w:r>
    </w:p>
    <w:p>
      <w:r>
        <w:t>et recoveries of provisions for the depreciation of investment securities. According to the definition of INSEE, it measures the specific contribution of banks to the increase in national wealth and can thus be compared to the value added generated by non-financial enterprises. The net banking income cannot therefore be considered equivalent to turnover, which is composed of gross revenues and not net revenues after charges.</w:t>
      </w:r>
    </w:p>
    <w:p>
      <w:r>
        <w:t>631. The supervisory jurisdictions have approved the analysis of the Competition Council in its decision No. 00-D-28 of September 19, 2000, regarding the competitive situation in the mortgage credit sector, which considered that when a bank's turnover was not reported in the tax package or was significantly lower than the amount communicated elsewhere due to its accounting and tax peculiarities, it was appropriate to take into account, as the ceiling for sanctions, the sum of the items of banking operating income, which constitutes the "gross banking income" and represents the economic activity of these companies (see the judgments of the Paris Court of Appeal of November 27, 2001, and of the Court of Cassation of June 23, 2004).</w:t>
      </w:r>
    </w:p>
    <w:p>
      <w:r>
        <w:t>632. Furthermore, in merger law, Council Regulation (EC) No. 139/2004 of January 20, 2004, on the control of concentrations between undertakings (OJ L 24, p. 1) provides, in Article 5, that for credit institutions and other financial institutions, turnover is replaced by the sum of the following income items, less, where applicable, value-added tax and other taxes directly linked to said income: interest and similar income, income from securities (income from shares, units, and other variable income securities, income from participations, income from shares in affiliated companies), commissions received, net profit from financial operations, and other operating income. These provisions correspond to the notion of gross income and not net income.</w:t>
      </w:r>
    </w:p>
    <w:p>
      <w:r>
        <w:t>633. In these circumstances, in the absence of turnover, the gross banking income of the companies involved will be retained for the assessment of the ceiling for sanctions provided for by Article L. 464-2 of the Commercial Code.</w:t>
      </w:r>
    </w:p>
    <w:p>
      <w:r>
        <w:t>634. It should, however, be recalled that the reference to turnover made by Article L. 464-2 of the Commercial Code serves only to define the maximum amount of the financial penalty incurred by companies engaging in anti-competitive practices. Subject to this legal ceiling, it is only indicated that the sanction must be proportionate to the severity of the facts alleged, the importance of the damage caused to the economy, the situation of the sanctioned organization or company or the group to which it belongs, and the possible repetition of the prohibited practices. Thus, to establish the amount of a sanction, the Competition Authority takes into account numerous parameters that are not limited to turnover, and in particular, within the framework of the individualization of the sanctions imposed, the contributory capacities of each company.</w:t>
      </w:r>
    </w:p>
    <w:p>
      <w:r>
        <w:t>635. In its decision No. 09-D-05 of February 2, 2009, regarding practices implemented in the temporary work sector, confirmed by the judgment of the Paris Court of Appeal of January 26, 2010, the Competition Council recalled that, to establish the amount of a sanction, "In assessing the situation of a company that may be sanctioned, it must naturally take into account its financial capacity, but this capacity can sometimes be quite largely independent of turnover, even if in other cases it is closely linked to it." In this case, the Council retained the gross margin of temporary work companies to assess their contributory capacities, since the declared turnover included salaries and charges paid to temporary workers, unlike the gross margin, which essentially reflected the price of the services billed to user companies.</w:t>
      </w:r>
    </w:p>
    <w:p>
      <w:r>
        <w:t>636. In the present case, the banks' argument will be retained, not to calculate the legal ceiling as stated above, but to ensure that the sanctions imposed are proportionate to their contributory capacity, better reflected, given the particular specificities of the banking sector, by their net banking income than by the turnover mentioned in the tax package or the gross banking income.</w:t>
      </w:r>
    </w:p>
    <w:p>
      <w:r>
        <w:t>3. ON THE CRITERIA FOR DETERMINING SANCTIONS</w:t>
      </w:r>
    </w:p>
    <w:p>
      <w:r>
        <w:t>637. Section I of Article 464-2 of the Commercial Code states that "financial penalties are proportionate to the severity of the facts alleged, the importance of the damage caused to the economy, the situation of the sanctioned organization or company or the group to which the company belongs, and the possible repetition of prohibited practices under this title. They are determined individually for each sanctioned company or organization and reasoned for each sanction."</w:t>
      </w:r>
    </w:p>
    <w:p>
      <w:r>
        <w:t>638. The following will be addressed successively:</w:t>
        <w:br/>
        <w:t>- the severity of the practices;</w:t>
        <w:br/>
        <w:t>- the importance of the damage to the economy;</w:t>
        <w:br/>
        <w:t>- the consideration of repetition;</w:t>
        <w:br/>
        <w:t>- the individual situation of the companies.</w:t>
      </w:r>
    </w:p>
    <w:p>
      <w:r>
        <w:t>a) On the severity of the practices</w:t>
      </w:r>
    </w:p>
    <w:p>
      <w:r>
        <w:t>The parties' arguments</w:t>
      </w:r>
    </w:p>
    <w:p>
      <w:r>
        <w:t>639. The parties argue that the agreement establishing the CEIC cannot be classified as a serious infringement of competition law.</w:t>
      </w:r>
    </w:p>
    <w:p>
      <w:r>
        <w:t>640. The Banque de France, the Banques Populaires, Crédit Agricole, and LCL assert that the banks did not intend to implement an anti-competitive practice when they decided to establish the CEIC. The parties indicate that the competition authorities had not previously established a general principle of illegality for this type of commission, which had been subject to exemptions on numerous occasions. They also highlight the technical and complex issues surrounding the interbank commissions in question. HSBC, for its part, invokes the existence of a "legitimate doubt" and argues that it could legitimately be unaware that the practices in question could be classified as restrictions on competition.</w:t>
      </w:r>
    </w:p>
    <w:p>
      <w:r>
        <w:t>641. The parties argue that the agreement of February 3, 2000, cannot be equated with a price-fixing agreement, like the Helsinki agreement that led to the Commission's decision of March 25, 1992. They emphasize that this commission does not constitute the counterpart of a service but has a compensation objective. They indicate that this commission was not intended to be passed on to prices and that the price increase noted by the investigating services, which does not solely reflect this pass-through, is lower than the amount of the commission.</w:t>
      </w:r>
    </w:p>
    <w:p>
      <w:r>
        <w:t>642. Regarding the duration of the practices, Société Générale specifies that the CEIC was designed as a temporary commission. The parties argue that they terminated the CEIC and revised the CSC on their own initiative in 2007.</w:t>
      </w:r>
    </w:p>
    <w:p>
      <w:r>
        <w:t>643. The parties emphasize that the practice was not secretive. They argue that the agreement was made under the influence and with the full knowledge of public authorities. The parties indicate that the DGCCRF was informed of the transition to the EIC in April 2002. Société Générale specifies that the parties, aware of the issues that certain interbank commissions could raise in terms of competition law, wished to act transparently with this authority.</w:t>
      </w:r>
    </w:p>
    <w:p>
      <w:r>
        <w:t>644. The Banque de France, the Banques Populaires, and Crédit du Nord indicate that competition in the check collection market remained vigorous, and that the agreement did not have the effect of creating barriers to entry in this market, as evidenced by the existence of two new players, Axa Banque and ING Direct.</w:t>
      </w:r>
    </w:p>
    <w:p>
      <w:r>
        <w:t>645. Regarding the specificities of the market concerned, Société Générale argues that the banking monopoly and the automatic nature of the collection of the CEIC cannot be retained to characterize the severity of the practices since they result from legislative or regulatory provisions. Furthermore, it highlights the constant decrease in the use of checks in France.</w:t>
      </w:r>
    </w:p>
    <w:p>
      <w:r>
        <w:t>Assessment in this case</w:t>
      </w:r>
    </w:p>
    <w:p>
      <w:r>
        <w:t>646. According to established case law, the Competition Authority can carry out a global assessment of the severity of the practices in question, as well as the damage to the economy, provided that it takes into account, in an individualized manner, the situation of each company and its personal contribution to the practices (see, in particular, the judgments of the Court of Cassation of November 22, 2005, Dexxon Data Media, and of the Paris Court of Appeal of January 19, 2010, AMD Sud-Ouest, of June 24, 2008, France Travaux, of November 20, 2007, Carrefour, of April 25, 2006, société Sade, and of September 8, 1998, Adecco).</w:t>
      </w:r>
    </w:p>
    <w:p>
      <w:r>
        <w:t>The nature of the practices implemented</w:t>
      </w:r>
    </w:p>
    <w:p>
      <w:r>
        <w:t>647. In its judgment of April 4, 2006, Etablissements horticoles Georges Truffaut, the Paris Court of Appeal emphasized that "practices aimed at obstructing the setting of prices by the free play of the market and artificially promoting their increase are, by nature, particularly serious, as they deprive consumers of the benefit they are entitled to expect from a well-functioning market."</w:t>
      </w:r>
    </w:p>
    <w:p>
      <w:r>
        <w:t>648. In this case, the disputed agreements constitute a horizontal agreement, considered one of the most serious anti-competitive practices.</w:t>
      </w:r>
    </w:p>
    <w:p>
      <w:r>
        <w:t>649. However, it is necessary to distinguish the infringements committed depending on whether they concern the establishment of the CEIC or the AOCT commissions, which, due to the very nature of each commission, do not have the same degree of severity. The AOCT commissions are indeed intended to compensate for a service rendered occasionally by one bank to another. In contrast, the CEIC, collected by the banks drawn during each interbank transaction by check, does not correspond to any service rendered to the presenting banks, nor to any particular cost incurred by the drawn banks during this transaction. This commission artificially increases the cost of check collection, thus indirectly affecting the price level.</w:t>
      </w:r>
    </w:p>
    <w:p>
      <w:r>
        <w:rPr>
          <w:b/>
        </w:rPr>
        <w:t>[Pages 121–123]</w:t>
      </w:r>
    </w:p>
    <w:p>
      <w:r>
        <w:t>650. In this case, the parties have not demonstrated that the amount of AOCT commissions was proportionate to the achievement of the expected efficiency gains. Unlike the CEIC, these commissions are not challenged in principle, but in their amount, due to the lack of any justification provided by the parties on this point. Thus, the infringement committed due to the joint determination of the amount of AOCT commissions is significantly less serious than that which was committed with the creation of the CEIC.</w:t>
      </w:r>
    </w:p>
    <w:p>
      <w:r>
        <w:t>651. Furthermore, the following circumstances, common to both types of commissions, must be taken into account to the benefit of all the parties involved, to temper the severity of the practices.</w:t>
      </w:r>
    </w:p>
    <w:p>
      <w:r>
        <w:t>652. Firstly, the agreement does not constitute a collusion on final prices.</w:t>
      </w:r>
    </w:p>
    <w:p>
      <w:r>
        <w:t>653. As the parties point out, the agreement in dispute differs from the Helsinki agreement, whereby the banks had agreed on the principle of charging a commission from merchants for payments by eurocheques, which led to the imposition of a financial penalty by the community authorities. In this case, it should be noted that the agreement did not directly concern the level of final prices as it merely established the principle of a commission charged to merchants, but did not set the amount of this commission, thus preserving a possibility of competition among banks regarding prices to merchants (judgment of the Court of First Instance of February 23, 1994, Groupement des cartes bancaires "CB" and Europay International SA, T-39/92, Rec. p. II-00049, point 143 et seq., reforming decision 92/212/EEC of the Commission, of March 25, 1992).</w:t>
      </w:r>
    </w:p>
    <w:p>
      <w:r>
        <w:t>654. In the present case, the parties were not obliged under their agreement to pass on the amount of the commissions paid to their clients. However, the billing for the cheque collection service, whether direct or indirect, is linked to the costs borne by the presenting banks. Since the balance of CEIC collected and paid represents a net charge for the banks that are predominantly presenting in volume (number of cheques), this additional cost necessarily impacted the formation of the prices, direct or indirect, of the cheque collection service, or, given the specifics of the pricing of banking services, on the overall balance of the relationship between the bank and its client. Thus, the establishment of the CEIC has contributed to an increase in the formation of prices for banking services, preventing price determination by the free play of the market.</w:t>
      </w:r>
    </w:p>
    <w:p>
      <w:r>
        <w:t>655. If the passing on of commissions has been observed in practice, the agreement was limited in principle to interbank relations, which contributes to mitigating its severity.</w:t>
      </w:r>
    </w:p>
    <w:p>
      <w:r>
        <w:t>656. Secondly, the agreement of February 3, 2000, was concluded within the framework of negotiations for the transition to the EIC, a project of general interest whose implementation was actively supported by the Banque de France. While its role is not sufficient to characterize the existence of a constraint that would exempt the parties to the agreement from their liability (see points 300 et seq.), it remains that the Banque de France, the supervisory authority of banking institutions, played an important role in influencing the conclusion of the agreement, notably by proposing a compromise regarding the amount and duration of the CEIC (see point 101 above).</w:t>
      </w:r>
    </w:p>
    <w:p>
      <w:r>
        <w:t>657. Lastly, the agreement concluded cannot be equated to a secret cartel. The Banque de France, for example, informed some of its clients, including the public treasury, in the context of tariff renegotiations following the establishment of the CEIC. Furthermore, as noted above (see point 623), the parties did not seek to conceal the terms of their agreement from the DGCCRF, even though the exchanges only took place in April 2002, more than two years after the agreement of February 3, 2000, and three months after the implementation of the system.</w:t>
      </w:r>
    </w:p>
    <w:p>
      <w:r>
        <w:t>The parties' awareness of the anti-competitive nature of the practices</w:t>
      </w:r>
    </w:p>
    <w:p>
      <w:r>
        <w:t>658. Both national and community competition authorities have already ruled several times on the legality of interbank commissions in light of competition law, even before the commission of the practices in question.</w:t>
      </w:r>
    </w:p>
    <w:p>
      <w:r>
        <w:t>659. In its decision No. 88-D-37 of October 15, 1988, which was not contested by the banks, the Competition Council considered that the interchange commissions set by the Economic Interest Grouping of bank cards "CB" were restrictive of competition. Although the decision does not specify it, the reasoning followed indicates that the practice was qualified based on its object, as the effects of the interbank commission were not analyzed. Furthermore, the Council rejected the possibility of exempting the commissions in question.</w:t>
      </w:r>
    </w:p>
    <w:p>
      <w:r>
        <w:t>660. At the community level, the European Commission stated that it considered any agreement on a multilateral interbank commission to constitute a restriction of competition falling under Article 81, paragraph 1, EC in its communication of September 27, 1995. The Commission applied these principles in its aforementioned GSA decision, rendered on September 8, 1999, several months before the agreement of February 3, 2000, which is the subject of the present proceedings. These principles were reaffirmed in subsequent decisions of the Commission rendered on the Visa and Mastercard cases, with the debate then focusing on the meeting of the necessary conditions for the exemption of the agreement (see points 341 et seq. above).</w:t>
      </w:r>
    </w:p>
    <w:p>
      <w:r>
        <w:t>661. Thus, both at the time of the negotiation of the CIR agreement and during its implementation, the banks could not ignore that multilateral interbank commissions were subject to competition rules and that they were assessed on a case-by-case basis by the competition authorities, particularly regarding a potential exemption.</w:t>
      </w:r>
    </w:p>
    <w:p>
      <w:r>
        <w:t>662. The circumstances of this case therefore differ from those of the Atlantic Container case invoked by HSBC, in which the Court of First Instance of the European Communities dismissed the application of a sanction based on a provided set of mitigating circumstances, including the circumstances that the contested decision was the first in which the Commission had directly assessed the legality of practices of the type in question, that this assessment raised complex legal questions, that it was not a classic form of abusive practice, and finally, that the parties had every reason to believe, during the administrative procedure, that the Commission would not impose a fine on them (judgment of September 30, 2003, T-191/98, Rec. p. II-3275, points 1603 et seq.).</w:t>
      </w:r>
    </w:p>
    <w:p>
      <w:r>
        <w:t>663. Thus, the argument raised by the banks regarding the doubts they may have had at the time of the CIR negotiations concerning the assessment of the compliance of the disputed commissions with competition law cannot be accepted to dismiss the application of a sanction. The Authority will nevertheless take this element into account for determining the base amount of the sanctions imposed, as part of its assessment of the context of the implementation of the practices.</w:t>
      </w:r>
    </w:p>
    <w:p>
      <w:r>
        <w:t>The duration of the practices</w:t>
      </w:r>
    </w:p>
    <w:p>
      <w:r>
        <w:t>664. The duration of the practices varies depending on the type of commission concerned. The CEIC was collected between January 1, 2002, and July 1, 2007. The AOCT commissions have been collected continuously since July 1, 2002, and have not been revised since that date. Furthermore, it should be noted that these commissions were not subject to the review provided for by the agreement of February 3, 2000, at the end of the three-year period following their establishment (see points 119 and 126).</w:t>
      </w:r>
    </w:p>
    <w:p>
      <w:r>
        <w:t>665. Moreover, while the CEIC was abolished in the autumn of 2007, the banks ended their restrictive practice at an advanced stage of the investigation by the competition authority, under the pressure of the ongoing inquiry. In these conditions, it should be considered not as a mitigating circumstance, but as normal behavior of the parties involved.</w:t>
      </w:r>
    </w:p>
    <w:p>
      <w:r>
        <w:t>666. Thus assessed, the duration of the practices in question, implemented over a period exceeding five years, can be regarded as relatively long.</w:t>
      </w:r>
    </w:p>
    <w:p>
      <w:r>
        <w:t>The affected market</w:t>
      </w:r>
    </w:p>
    <w:p>
      <w:r>
        <w:t>667. The commissions in question were levied on all interbank cheques exchanged in France.</w:t>
      </w:r>
    </w:p>
    <w:p>
      <w:r>
        <w:t>668. Indeed, the agreement was concluded within the CIR by the twelve largest credit institutions in the retail and commercial banking sector, which represented more than 80% of the interbank cheques issued and presented at the time of the facts (see point 66). The commissions were levied by all credit institutions participating in the interbank cheque settlement system, with the members of the CIR acting as agents for all banks active in France in this regard (see point 76 above).</w:t>
      </w:r>
    </w:p>
    <w:p>
      <w:r>
        <w:t>669. It should be emphasized that banking services are of crucial importance for both consumers and businesses, that is to say, for the entire economy. Among these services, the cheque represented one of the main means of payment used in France during the period in question, even though its use declined during the duration of the practices, falling from 37% of scriptural payments in 2000 to 26% in 2006 (see point 24 above).</w:t>
      </w:r>
    </w:p>
    <w:p>
      <w:r>
        <w:t>670. Due to the characteristics of the quadripartite system specific to cheques, the commissions necessarily affected the different sides of the market, namely the cheque collection market and the cheque issuance market (see in this regard, the analysis developed in point 254 et seq. above). However, the cheque is a sector in which competition is limited by a number of characteristics.</w:t>
      </w:r>
    </w:p>
    <w:p>
      <w:r>
        <w:t>671. Firstly, it should be recalled that the choice of users of the cheque system is entirely constrained by the banking monopoly: both drawers and beneficiaries can only obtain this service from credit institutions (point 27 above). This situation characterizes the existence of a captive clientele in the economic sense.</w:t>
      </w:r>
    </w:p>
    <w:p>
      <w:r>
        <w:t>672. Secondly, there is not perfect substitutability between the different means of payment, which would allow users of banking services to do without cheques. Indeed, the cheque is preferred to the bank card for high-value purchases (point 24 above). Furthermore, due to the free issuance of cheque forms, unlike, for example, the bank card, it is a preferred means of payment for a portion of the clientele, particularly for modest individual clients. This imperfect substitutability is reflected, on the other side of the market, by the impossibility for most merchants, particularly large retailers, to do without the banking service of cheque collection.</w:t>
      </w:r>
    </w:p>
    <w:p>
      <w:r>
        <w:rPr>
          <w:b/>
        </w:rPr>
        <w:t>[Pages 124–126]</w:t>
      </w:r>
    </w:p>
    <w:p>
      <w:r>
        <w:t>673. Thirdly, the check sector is characterized by pricing opacity and information asymmetry between the bank and its client. In an article dedicated to competition in payment methods, President Philippe Nasse emphasized: "the main characteristic of this competition is that it takes place in an almost total darkness regarding the prices actually paid, and the links between these prices and the costs incurred. This darkness prevails on the buyer's side and probably also on the seller's side, but not on the issuer or acquirer side: banks have means that allow them to know their costs and revenues well" (Banking, Finance &amp; Competition Conference, November 30, 2006, Concurrences No. 1, 2007 p. 63). In its report dated September 22, 2009, dedicated to banking conditions, the European Commission also denounces the lack of transparency in the tariffs related to current account management services, among which is the check service. The report indicates that French banks are characterized by some of the most complex and least transparent tariffs among banks in the European Union (SEC(2009) 1251, p. 16 et seq.). In their report on the pricing of banking services submitted to the Minister of Economy, Industry and Employment on July 8, 2010, Messrs. Constans and Pauget also report on the lack of transparency and complexity of banking pricing in France. They highlight in this regard the impact of low-paid or free services, particularly checks, on the pricing system of banking services: the management costs of checks "weigh (...) on the other services of the bank on a daily basis and exacerbate the phenomena of cross-subsidization" (page 21).</w:t>
      </w:r>
    </w:p>
    <w:p>
      <w:r>
        <w:t>674. This opacity is particularly significant in the check sector, since, in addition to the phenomenon of cross-subsidization, most customer services are billed indirectly (for example, through the value date system). The information asymmetry between the bank and its client is such that the majority of clients do not know either the actual cost of the services or the billing method used. Thus, even the corporate clientele, whose level of information is generally higher than that of individuals, frequently believes that the management of its payment methods is provided "for free" by the banking sector, while the indirect prices it bears are significantly higher than the prices paid by the proportion of companies that have managed to negotiate with their banks a per-transaction billing rather than an indirect basis. Only a minority of companies, particularly very large remitters such as large retail companies that process several million checks per year, are able to reduce this information asymmetry, for example by resorting to tenders and negotiating a unit pricing for the check deposit service.</w:t>
      </w:r>
    </w:p>
    <w:p>
      <w:r>
        <w:t>675. The particularities of the market show that practices have occurred in a market where competition is already limited due to banking monopoly and pricing opacity, and in relationships where the bilateral logic of price formation is difficult to apply.</w:t>
      </w:r>
    </w:p>
    <w:p>
      <w:r>
        <w:t>The impact on public finances</w:t>
      </w:r>
    </w:p>
    <w:p>
      <w:r>
        <w:t>676. The establishment of an interbank commission affecting the costs of the check deposit service automatically impacts public finances. Indeed, the Banque de France, provider of the check deposit service for the benefit of the Public Treasury, indicates that it is required, pursuant to Article 114 of the agreement concluded with the State on April 26, 2002, for the management of the Treasury account, to pass on to public accountants the banking charges, such as interbank commissions, paid on operations carried out on behalf of the Treasury (see the observations in response to the notification of grievances, reference 6808).</w:t>
      </w:r>
    </w:p>
    <w:p>
      <w:r>
        <w:t>b) On the significance of the damage to the economy</w:t>
      </w:r>
    </w:p>
    <w:p>
      <w:r>
        <w:t>Regarding the CEIC</w:t>
      </w:r>
    </w:p>
    <w:p>
      <w:r>
        <w:t>677. The parties criticize the methods of assessing the damage to the economy proposed by the investigating services in the report of August 18, 2009.</w:t>
      </w:r>
    </w:p>
    <w:p>
      <w:r>
        <w:t>678. However, it follows from consistent case law that the Competition Authority is not required to precisely quantify the extent of the damage to the economy (see, for example, the judgment of the Paris Court of Appeal of January 19, 2010, AMD Sud-Ouest, cited above, as well as the judgments of January 26, 2010, Adecco France S.A.S., March 23, 2010, S.E.M. G.E.G., and January 28, 2009, Epsé Joué Club, cited above). In its judgment Epsé Joué Club, the Paris Court of Appeal specifies: "the damage to the economy is not limited to an objectively measurable loss, but is assessed in particular based on the extent of the market affected by the practices, the duration and the conjunctural or structural effects of these practices."</w:t>
      </w:r>
    </w:p>
    <w:p>
      <w:r>
        <w:t>679. As a preliminary point, it should be clarified that, contrary to what the parties argue, the damage to the economy must be assessed in relation to the competitive situation that would have prevailed in the event of a transition to the EIC without CEIC and not that which would have been observed in the event of maintaining a manual check clearing system. Indeed, as noted above, it has not been demonstrated that the CEIC was necessary for the transition to the EIC. The damage to the economy cannot therefore be mitigated by the gains derived from the dematerialization of exchanges, which are not linked to the restrictive practice in question.</w:t>
      </w:r>
    </w:p>
    <w:p>
      <w:r>
        <w:t>680. In addition to the duration of the practices and the structurally non-competitive nature of the affected market, analyzed above (points 664 et seq.), several elements can be retained to assess the extent of the damage to the economy.</w:t>
      </w:r>
    </w:p>
    <w:p>
      <w:r>
        <w:t>The size of the affected market</w:t>
      </w:r>
    </w:p>
    <w:p>
      <w:r>
        <w:t>681. As noted above (point 668), the quadripartite check system was entirely affected by the establishment of the CEIC, as it was levied on all interbank checks cleared by credit institutions in France.</w:t>
      </w:r>
    </w:p>
    <w:p>
      <w:r>
        <w:t>682. The volumes of checks concerned during the years 2002 to 2006, the only data available in the file, are as follows:</w:t>
        <w:br/>
        <w:t>2002 3,487,501,308</w:t>
        <w:br/>
        <w:t>2003 3,465,211,009</w:t>
        <w:br/>
        <w:t>2004 3,300,843,748</w:t>
        <w:br/>
        <w:t>2005 3,233,432,426</w:t>
        <w:br/>
        <w:t>2006 3,100,666,135</w:t>
      </w:r>
    </w:p>
    <w:p>
      <w:r>
        <w:t>G-SIT</w:t>
      </w:r>
    </w:p>
    <w:p>
      <w:r>
        <w:t>683. Due to the opacity of banking pricing, it is not possible to precisely evaluate the value of sales made by banks for the issuance and deposit services of checks affected by the practices in question.</w:t>
      </w:r>
    </w:p>
    <w:p>
      <w:r>
        <w:t>684. However, it should be recalled that checks represented 37% of the scriptural payment methods used in France in 2002, and 26% in 2006. They therefore necessarily represented a significant share of the banks' costs related to the management of their clients' payment methods or the management of their credit flows. Since the billing of banking services is based on the banks' costs, checks thus represented a significant share of the price charged for these services, within the framework of the overall balance of the relationship between the bank and its client.</w:t>
      </w:r>
    </w:p>
    <w:p>
      <w:r>
        <w:t>The potential for anti-competitive effects on the market</w:t>
      </w:r>
    </w:p>
    <w:p>
      <w:r>
        <w:t>685. The amounts of CEIC collected during the period in which this commission was in effect are as follows (in euros):</w:t>
        <w:br/>
        <w:t>2002 147,420,380</w:t>
        <w:br/>
        <w:t>2003 146,585,462</w:t>
        <w:br/>
        <w:t>2004 142,476,313</w:t>
        <w:br/>
        <w:t>2005 136,716,644</w:t>
        <w:br/>
        <w:t>2006 131,018,862</w:t>
        <w:br/>
        <w:t>January 1 to July 1, 2007 * 62,650,000 *</w:t>
        <w:br/>
        <w:t>Total 766,867,661</w:t>
        <w:br/>
        <w:t>Sources: G-SIT; Authority's estimate for the data of the first half of 2007 (*)</w:t>
      </w:r>
    </w:p>
    <w:p>
      <w:r>
        <w:t>686. It is necessary to investigate whether this commission, which constituted an operating charge affecting the results of the remitting banks, could have been passed on in the form of a price increase, this increase potentially affecting the check deposit fee or the price of other banking services (through cross-subsidization). It is also necessary to examine whether the CEIC resulted in a reduction in the supply in the check deposit market, given the increase in costs incurred by banks to provide this service that followed.</w:t>
      </w:r>
    </w:p>
    <w:p>
      <w:r>
        <w:t>687. The loss suffered by consumers due to a price increase (or their maintenance at an artificially high level) is all the more significant since the remitters are captive clients of the banking monopoly: the price elasticity of demand for the check deposit service is indeed almost zero, since, as soon as they accept payment by check, remitters are required to use the services of banking establishments for the collection of these checks. However, all these establishments are subject to the imposition of the CEIC.</w:t>
      </w:r>
    </w:p>
    <w:p>
      <w:r>
        <w:t>The increase in the price of check deposits</w:t>
      </w:r>
    </w:p>
    <w:p>
      <w:r>
        <w:t>688. For each cent passed on (out of the 4.3 cents that make up the CEIC), the additional billing for clients represents between 30 and 35 million euros per year if we only consider the volumes of interbank checks exchanged on the market (see point 682 above). However, the increase in prices charged to clients has uniformly affected interbank checks, giving rise to the collection of the CEIC (80% of checks deposited), and intrabank checks, which do not give rise to the payment of this commission as they are deposited and cashed by the same establishment (20% of checks deposited). Thus, it can be estimated that, for each cent passed on, the increase...</w:t>
      </w:r>
    </w:p>
    <w:p>
      <w:r>
        <w:rPr>
          <w:b/>
        </w:rPr>
        <w:t>[Pages 127–129]</w:t>
      </w:r>
    </w:p>
    <w:p>
      <w:r>
        <w:t>126. The prices paid by customers actually amount to approximately 220 million euros over the entire period considered.</w:t>
      </w:r>
    </w:p>
    <w:p>
      <w:r>
        <w:t>689. Numerous documents in the file establish the reality of the pass-through of the CEIC to the submitting customers. However, this increase is not easily quantifiable, particularly since it has not always translated into an observable increase in unit price. Indeed, the billing for check submissions is sometimes based on the amount of the check (in the case of ad valorem commissions, which correspond to a percentage taken from the amounts processed). It can also take the form of value days imposed on the submitters, or other billing channels. Finally, the existence of cross-subsidies prevents very precise estimates of price variations.</w:t>
      </w:r>
    </w:p>
    <w:p>
      <w:r>
        <w:t>690. Furthermore, since the transition to the EIC allowed the banking sector to achieve cost savings due to the dematerialization of exchanges and their acceleration, the absence of upward renegotiation of the check submission service fee does not prove the absence of effect of the CEIC: in this case, the price reduction factor represented by the transition to the EIC is neutralized by the price increase factor represented by the CEIC.</w:t>
      </w:r>
    </w:p>
    <w:p>
      <w:r>
        <w:t>691. In this regard, it is appropriate to distinguish between the different categories of submitting customers.</w:t>
      </w:r>
    </w:p>
    <w:p>
      <w:r>
        <w:t> The Public Treasury</w:t>
      </w:r>
    </w:p>
    <w:p>
      <w:r>
        <w:t>692. The direct and full pass-through of the CEIC on the price of billed services is established in the case of the Public Treasury, the main client of the Banque de France, which represents nearly 5% of checks submitted annually in France. The Banque de France indicates, in its observations on the notification of grievances, a pass-through to the Treasury of an amount of 36 million euros over the entire period concerned (reference 7219).</w:t>
      </w:r>
    </w:p>
    <w:p>
      <w:r>
        <w:t> The "large submitters"</w:t>
      </w:r>
    </w:p>
    <w:p>
      <w:r>
        <w:t>693. The extent of the pass-through of the CEIC on the "large submitters," that is to say, companies submitting a significant volume of checks annually, can be assessed based on the results of the price survey. This survey was conducted among 700 French companies, all of which have a cash management service. The sample of surveyed companies represents a significant share of the volume of check submissions in France (nearly 10% of checks submitted in France, excluding checks from the Public Treasury), and the data retained by the expert approximates 6% of checks submitted in France, excluding checks from the Public Treasury, or about 200 million checks per year.</w:t>
      </w:r>
    </w:p>
    <w:p>
      <w:r>
        <w:t>694. A significant proportion of these large submitters benefit from unit pricing for the check submission service. The price survey established that this category of companies has experienced, on average, a significant increase in the unit price of check submissions. While some of them have managed to avoid this increase, it should be noted that this is a minority of companies, possessing strong negotiating power with their banking institution given the business volume represented by the millions of checks they submit each year.</w:t>
      </w:r>
    </w:p>
    <w:p>
      <w:r>
        <w:t>695. According to the expert report dated August 19, 2009 (see p. 35 of the report, reference 31696), the observed increase in the fee is between 1.07 and 1.75 euro cents per check submitted during the period 2001-2004, and between 1.04 and 1.58 euro cents during the period 2001-2006 according to the sample retained. By comparison, the average price of banking conditions used by the expert was, in 2001, approximately 3 euro cents. It should be noted that these findings only concern the evolution of the nominal prices of the check submission service and do not take into account the price evolution related, for example, to the evolution of value dates imposed on companies. They therefore underestimate the actual increase in fees imposed on bank customers. In this regard, the aforementioned report of August 19, 2009, which was not contested on this point by the banks, provides an assessment of the price increase equivalent to the evolution of value dates of 0.6 cents per check.</w:t>
      </w:r>
    </w:p>
    <w:p>
      <w:r>
        <w:t>696. While it is undisputed that the sample retained for the price survey is not representative of all companies using a check submission service, given that companies submitting a very large volume of checks, particularly large retail companies, are overrepresented, it has been observed that the increase in the unit price of check submissions applied to the smallest submitters whose responses were analyzed has always been greater than that applied to the largest submitters. This result indicates that the pass-through of the CEIC has been all the more significant as the clients brought a lower business volume. Consequently, the increase noted by the expert can be considered as an underestimate of the average increase experienced by companies in the market.</w:t>
      </w:r>
    </w:p>
    <w:p>
      <w:r>
        <w:t>697. Numerous specific examples of the full pass-through of the CEIC to major companies also emerge from the documents in the file, such as letters or service agreements between banks and their clients.</w:t>
      </w:r>
    </w:p>
    <w:p>
      <w:r>
        <w:t>698. In a letter dated January 29, 2001, the CIC informs one of its clients, submitting several million checks annually, that: "interbank commissions are implemented based on the nature of the operations of the submitting bank or the drawee bank. Essentially, a commission of 0.04 euros per check submitted is charged to the submitting bank. This commission translates into an increase in the costs of the bank to which your billing is linked. In accordance with transparency rules, this commission will now be passed on to you in due proportion, in the form of an increase in your current billing" (reference 3877).</w:t>
      </w:r>
    </w:p>
    <w:p>
      <w:r>
        <w:t>699. Similarly, in a letter dated October 30, 2002, Crédit Lyonnais informs one of its clients, a company submitting several tens of millions of checks annually, that: "The technical and pricing components of this new offer are not comparable point by point with our previous proposal due to the new compensation modalities for checks between banks (transition to Check Image Exchange). Our new offer incorporates the additional costs related to EIC processing by the submitting bank, which must now ensure the functions of dematerialization and archiving of the check while bearing heavier interbank charges than in the previous system" (reference 67).</w:t>
      </w:r>
    </w:p>
    <w:p>
      <w:r>
        <w:t>700. In a letter dated April 23, 2002, BNP announces the pass-through of the CEIC to a client submitting several million checks annually: "As we announced to you in our last email of February 5, the banks have been charged since January 1, 2002, the interchange commission on submitted checks (...) In order to meet the deadlines we agreed upon, and pending your final agreement on our proposal of February 5, we confirm that, starting from July 1, 2002, we will pass on the entirety of this billing of 0.04 euros per check submitted" (reference 3829).</w:t>
      </w:r>
    </w:p>
    <w:p>
      <w:r>
        <w:t>701. Regarding Crédit Mutuel, the service agreement signed by the Banque de l'économie du Crédit Mutuel with a company submitting several hundred thousand checks per year provides: "The price for processing the check image is set at 0.031 euros excluding tax per check processed. To this amount is added the price of the interbank commission passed on by BECM, which is 0.040 euros excluding tax" (reference 500).</w:t>
      </w:r>
    </w:p>
    <w:p>
      <w:r>
        <w:t>702. Similarly, it results from the investigation that the Banque de France charged the CEIC to two large public companies, one submitting more than one million checks per year (see the service agreement signed between the bank and the company, reference 13,197), the other submitting more than ten million checks per year (see the letter of January 9, 2004, announcing a new pricing following a "significant imbalance" of it, "exacerbated since the implementation of the EIC and the commission of 0.04 euros paid by the presenting banker for the submitted ICs," reference 13222).</w:t>
      </w:r>
    </w:p>
    <w:p>
      <w:r>
        <w:t>703. Finally, several cases of price reductions following the abolition of the EIC in the autumn of 2007 further confirm the reality of the inflationary impact of the CEIC on the price of check submission services. The study of the calls for tenders to which Société Générale responded shows a price reduction of 35% for offers concerning a volume exceeding 10 million checks submitted annually (telecollection), 18% for offers concerning an annual volume of less than 250,000 checks, and 16% for offers concerning an annual volume between 1 and 3 million checks per year (estimates based on the data used in the LECG study of May 26, 2008, "Analysis of the calls for tenders in which Société Générale participated between June 2002 and March 2008," references 6734 et seq.).</w:t>
      </w:r>
    </w:p>
    <w:p>
      <w:r>
        <w:t>704. Likewise, as an example among many cases recorded in the file, a large public company, a client of the Banque de France, indicated during its hearing by the investigation services that it obtained in 2008 a reduction in the pricing of its check service in the form of more favorable value dates: "the disappearance in 2008 of the CEIC had a positive consequence since the Banque de France agreed to change the value dates from J+2 to J+1" (reference 13292). This same company, also a client of La Banque Postale, obtained from the latter, to which it submitted several million checks annually, a price reduction of 2 euro cents per check (reference 25524). A company submitting several million checks per year to Crédit du Nord benefited from new pricing conditions starting January 1, 2008, with the billed price changing from [0.045 - 0.07] per check to [0.02 - 0.05] euros, representing a decrease of [35 - 60]% compared to the early 2007 rate (reference 14208). The case of a company client of CIC, submitting several hundred thousand checks per year and which benefited from a price reduction of between 15 to 40% on January 1, 2009, also attests to this decrease in rates following the abolition of the CEIC (reference 31568).</w:t>
      </w:r>
    </w:p>
    <w:p>
      <w:r>
        <w:rPr>
          <w:b/>
        </w:rPr>
        <w:t>[Pages 130–132]</w:t>
      </w:r>
    </w:p>
    <w:p>
      <w:r>
        <w:t xml:space="preserve"> The other companies  </w:t>
        <w:br/>
        <w:t xml:space="preserve">705. The extent of the impact of the CEIC on companies that do not belong to the category of large depositors (particularly small and medium-sized enterprises) and which represent the majority of the volumes of checks deposited in France annually, is not quantifiable since, except in exceptional cases, the check deposit service is not charged to them on a unit basis, but indirectly, notably through value days.  </w:t>
        <w:br/>
        <w:t xml:space="preserve">706. However, it is certain that it is this category of companies, which has only limited negotiating power with their banking institution compared to that of large depositors, and which is also poorly informed about the indirect billing methods for banking services and their actual prices, that has suffered the greatest price increase due to the CEIC. Indeed, as noted above (point 696 above), the results of the price survey established that the extent of the impact of the CEIC was inversely proportional to the volume of checks deposited by the companies concerned. This category of companies was all the less able to oppose a price increase since, unlike very large depositors who proceed through calls for tenders, they do not resort to putting banking institutions in competition to choose a check deposit service provider.  </w:t>
        <w:br/>
        <w:t xml:space="preserve"> Individuals  </w:t>
        <w:br/>
        <w:t xml:space="preserve">707. Similar to small and medium-sized enterprises, the extent of the impact of the CEIC on individuals, who represent approximately 15% of the volumes of checks deposited in France annually, is not quantifiable since, except in exceptional cases, the check deposit service is not charged to them on a unit basis, but indirectly, mainly through value days. Again, banks were all the more able to pass on the commission to their clients since individuals do not have negotiating power with their bank, and they are poorly informed about the indirect remuneration methods for banking services.  </w:t>
        <w:br/>
        <w:t xml:space="preserve">708. It should be noted that when the impact of the CEIC did not take the form of an increase in the face value of banking services, but was reflected in an increase in the banks' remuneration in the form of float, through a slower acceleration of check collections than would have been allowed by the acceleration of interbank settlement resulting from the dematerialization of exchanges, or even an increase in the value days imposed on clients, only clients optimizing their cash flow and clients in overdraft suffered direct and quantifiable damage. Indeed, the slower collection of checks deprived optimizing clients of the opportunity to invest the amounts collected more quickly for their own benefit, and prevented clients in overdraft from improving their bank account balance more quickly, and thus reducing the fees charged by their bank on this occasion (overdraft fees). Other clients, on the other hand, suffered damage that is more difficult to monetize. Due to a slower funding of their accounts, some clients may have postponed a significant expense, or even given it up. They thus suffered a loss of utility that is difficult to quantify, but real.  </w:t>
        <w:br/>
        <w:t xml:space="preserve">709. In general, certain internal documents from the banks included in the file demonstrate the intention to pass on the cost of the CEIC to all their clients, without distinction between them. This is exemplified by the note on "check images Arguments and Q&amp;A" provided to members of the restricted working group of the CIR following the meeting of May 10, 2000, indicating regarding the additional costs incurred by the banking sector due to the implementation of the CEIC: "pass on to the depositing client..." (cote 4264) as well as the minutes of an internal meeting at Crédit Mutuel dated January 10, 2001, which specifies that "[a]lthough intended to be passed on to the depositor, it weighs on the operating account of the depositing banker" (cote 4263). Similarly, during his hearing by investigators on July 12, 2005, the representative of Crédit Agricole stated: "The position of CA regarding the pass-through of the [CEIC] is to say that as long as clients benefit from better deadlines and CA bears an additional burden, it is normal for this burden to be passed on, but it is up to the regional banks to decide whether or not to pass on the interbank commission" (cote 4264).  </w:t>
        <w:br/>
        <w:t xml:space="preserve">The scarcity of check deposit services  </w:t>
        <w:br/>
        <w:t xml:space="preserve">710. When the CEIC was not fully passed on to the depositing clients, the profitability of the banking check deposit service was thus degraded, which was likely to reduce banks' incentive to compete in the check deposit market, to the detriment of large depositing companies. This effect is particularly evident in the case of Société Générale, which declined the offer from one of its clients, a very large depositor, proposing to bring it all of its check deposit activity on the condition that the amount of the CEIC was not included in the deposit price, on the grounds that such a service could only be loss-making (cote 3770). Conversely, the data provided in the aforementioned study of May 26, 2008, show a renewed participation of Société Générale in the tenders of depositing companies after the abolition of the CEIC: the participation observed between October 2007 and March 2008 was thus 50% higher than the average participation recorded during the periods from March to October in the years when the commission was in effect.  </w:t>
        <w:br/>
        <w:t xml:space="preserve">Regarding AOCT commissions  </w:t>
        <w:br/>
        <w:t xml:space="preserve">711. Regarding AOCT commissions, it should be recalled that the refusal of the exemption is based not on the principle of these commissions themselves, but on the lack of demonstration of the proportionality of their level. In the absence of any information on this point, it is not possible to determine the level of commissions that would correspond to the actual costs incurred by banks during these operations. Consequently, the damage to the economy cannot be quantified precisely.  </w:t>
        <w:br/>
        <w:t xml:space="preserve">712. Nevertheless, it is certain that the extent of the damage caused by the establishment of AOCT commissions for the compensation of checks is significantly less than that caused by the establishment of the CEIC.  </w:t>
        <w:br/>
        <w:t xml:space="preserve">713. Indeed, AOCT commissions are levied on a minority of interbank check compensation operations, and the potential for anti-competitive effects is limited, due to the amount of commissions collected, on the one hand, and the nature of the practice, on the other.  </w:t>
        <w:br/>
        <w:t xml:space="preserve">714. The amounts of AOCT commissions collected between 2002 and 2006 are as follows:  </w:t>
        <w:br/>
        <w:t xml:space="preserve">Check image cancellation Check image rejection cancellation  </w:t>
        <w:br/>
        <w:t xml:space="preserve">2002 605,346 358,284  </w:t>
        <w:br/>
        <w:t xml:space="preserve">2003 331,926 18,803  </w:t>
        <w:br/>
        <w:t xml:space="preserve">2004 279,553 6,456  </w:t>
        <w:br/>
        <w:t xml:space="preserve">2005 150,913 4,983  </w:t>
        <w:br/>
        <w:t xml:space="preserve">2006 123,196 54,151  </w:t>
        <w:br/>
        <w:t xml:space="preserve">Total 1,490,934 442,677  </w:t>
        <w:br/>
        <w:t xml:space="preserve">Source: G-SIT  </w:t>
        <w:br/>
        <w:t xml:space="preserve">NB: figures after 2006 are not included in the file.  </w:t>
        <w:br/>
        <w:t xml:space="preserve">715. The amount of these commissions represents less than 0.3% of the amount of the CEIC collected during the same period.  </w:t>
        <w:br/>
        <w:t xml:space="preserve">716. These commissions constitute an operating charge affecting the banks' results, part of which may be passed on to end clients, through direct or indirect billing. Since the amount of the commissions has not been set according to an objective criterion based on the actual costs of the services, the practice is likely to lead to an increase in banks' costs and, indirectly, to an inflation of the price of banking services when the level of the commissions exceeds the actual costs incurred. However, unlike the CEIC, which corresponds entirely to an artificial cost imposed on depositing banks, only a fraction of the amount of AOCT commissions, corresponding to the difference between their rate and the actual cost of the service, represents an additional cost imposed on the bank that must pay these commissions, which may cause damage to the economy.  </w:t>
        <w:br/>
        <w:t xml:space="preserve">c) On reiteration  </w:t>
        <w:br/>
        <w:t xml:space="preserve">717. Crédit Mutuel, Caisses d’Epargne, Société Générale, Crédit Agricole, and LCL argue that the practices sanctioned by the aforementioned decision of the Competition Council No. 00-D-28 of September 19, 2000, are of a different nature from the practices in question in the present case and that they occurred in a different market. Furthermore, they argue that reiteration cannot be retained since the first infringement had not been sanctioned at the time of the commission of the new practices.  </w:t>
        <w:br/>
        <w:t xml:space="preserve">718. As the Council pointed out in its decision No. 07-D-33 of October 15, 2007, concerning practices implemented by France Télécom in the high-speed Internet access sector, the reiteration referred to in Article L. 464-2 of the Commercial Code constitutes an aggravating circumstance justifying an increase in the amount of the sanction, particularly with regard to the deterrent objective pursued by its sanction policy (point 112 of the decision).  </w:t>
        <w:br/>
        <w:t xml:space="preserve">719. It is possible to retain reiteration when four conditions are met:  </w:t>
        <w:br/>
        <w:t>a. a previous infringement of competition law must have been established before the commission of the new practices;</w:t>
      </w:r>
    </w:p>
    <w:p>
      <w:r>
        <w:rPr>
          <w:b/>
        </w:rPr>
        <w:t>[Pages 133–135]</w:t>
      </w:r>
    </w:p>
    <w:p>
      <w:r>
        <w:t xml:space="preserve">b. these must be identical or similar to those that were the subject of the previous finding of infringement;  </w:t>
        <w:br/>
        <w:t xml:space="preserve">c. the latter must have become definitive by the date on which the Competition Authority rules on the new practices;  </w:t>
        <w:br/>
        <w:t>d. the time elapsed between the previous finding of infringement and the commission of the new practices must be taken into account to call for a response proportional to the company's propensity to disregard competition rules (see decision No. 09-D-36 of December 9, 2009, regarding practices implemented by Orange Caraïbe and France Télécom in various markets for electronic communications services in the departments of Martinique, Guadeloupe, and Guyana).</w:t>
      </w:r>
    </w:p>
    <w:p>
      <w:r>
        <w:t xml:space="preserve">On the existence of a prior finding of infringement  </w:t>
        <w:br/>
        <w:t xml:space="preserve">720. The fact that the practices began before a previous infringement was established is not sufficient to deprive the Competition Authority of the possibility of considering the repetition as an aggravating circumstance when the practices, of a continuous nature, continued after this first finding of infringement.  </w:t>
        <w:br/>
        <w:t xml:space="preserve">721. Thus, in its decision No. 07-D-50 of December 20, 2007, regarding practices implemented in the toy distribution sector, the Competition Council considered the repetition concerning practices committed during the years 2000 to 2003, in light of a finding of infringement dated September 25, 2003, and based on the facts established during the period following this finding (October-December 2003). This solution was validated by the Paris Court of Appeal in its judgment of January 28, 2009.  </w:t>
        <w:br/>
        <w:t xml:space="preserve">722. The Community courts follow a similar analysis. In a case involving the company Lafarge, the judges held that the Commission rightly considered recidivism as an aggravating circumstance, since in this case, the company continued to participate in the cartel in question for more than four years after the decision adopted in a previous case (judgment of the Court of First Instance of July 8, 2008, Lafarge/Commission, T-54/03, Rec. p. II-120, points 738 and 739, confirmed by the judgment of the Court of June 17, 2010, C-413/08, not yet published in Rec., point 91).  </w:t>
        <w:br/>
        <w:t>723. In this case, it should be noted that while the parties involved concluded the disputed agreement on February 3, 2000, prior to the aforementioned decision of the Competition Council No. 00-D-28, they implemented it from January 1, 2002, until July 1, 2007, concerning the CEIC, and since July 1, 2002, regarding the AOCT, thus for a period of more than five years after the finding of infringement. Crédit Mutuel, Caisses d’Epargne, Société Générale, Crédit Agricole, BNP, and LCL – Le Crédit Lyonnais therefore continued, in the context of this case, anti-competitive practices even though a previous infringement of competition law had been established against them by the Competition Council.</w:t>
      </w:r>
    </w:p>
    <w:p>
      <w:r>
        <w:t xml:space="preserve">On the definitiveness, as of the date of this decision, of the finding of infringement  </w:t>
        <w:br/>
        <w:t>724. Decision No. 00-D-28 has become definitive, as it was confirmed by the Paris Court of Appeal in its judgment of November 27, 2001, which was subject to an appeal rejected by the Court of Cassation (judgment of June 23, 2004).</w:t>
      </w:r>
    </w:p>
    <w:p>
      <w:r>
        <w:t xml:space="preserve">On the identity or similarity of the practices  </w:t>
        <w:br/>
        <w:t xml:space="preserve">725. The repetition aims to address cases where a company previously sanctioned for a particular type of behavior again implements identical or similar practices. It is possible to consider repetition when the practices are identical or similar in their anti-competitive object.  </w:t>
        <w:br/>
        <w:t xml:space="preserve">726. In this case, it should be noted that the practices established in decision No. 00-D-28 and those pursued in the context of the present case under Article L. 420-1 of the Commercial Code and Article 81 EC are similar in their object. Even if the affected markets are different, the practices previously sanctioned on the basis of Article 7 of Ordinance No. 86-1243 of December 1, 1986 also aimed to restrict competition in the banking sector: it was a horizontal agreement in the market for residential mortgage credit intended to restrict the possibilities for renegotiating mortgage loans.  </w:t>
        <w:br/>
        <w:t>727. In light of all the circumstances of the case, it is therefore appropriate to consider the repetition against Crédit Mutuel, Caisses d’Epargne, Société Générale, Crédit Agricole, BNP, and LCL, and consequently to apply a 20% increase for the calculation of the sanction imposed on them, taking into account the fact that only the continuation of the infringement resulting from the agreement sealed in 2000 characterizes such repetition.</w:t>
      </w:r>
    </w:p>
    <w:p>
      <w:r>
        <w:t xml:space="preserve">d) On the individual situation of the companies  </w:t>
        <w:br/>
        <w:t>728. In addition to the elements of individualization based on the position of each bank in the market as well as their size and economic power, which will be examined below in the context of the presentation of the method for calculating sanctions (see point 751), it is appropriate to examine whether other elements of individualization of sanctions can be taken into account.</w:t>
      </w:r>
    </w:p>
    <w:p>
      <w:r>
        <w:t xml:space="preserve">On the behavior of the parties during the CIR negotiations  </w:t>
        <w:br/>
        <w:t xml:space="preserve">On the opposition to the CEIC during the CIR debates  </w:t>
        <w:br/>
        <w:t xml:space="preserve">729. The Banques Populaires, the Banque de France, and Crédit du Nord argue that they opposed the principle of creating the CEIC. HSBC claims that, due to its marginal position in the check market, it had no weight in the CIR negotiations and merely adopted a passive and reserved attitude, hoping that the compromise reached would not be too detrimental to it.  </w:t>
        <w:br/>
        <w:t xml:space="preserve">730. However, while the leading role of a company constitutes an aggravating circumstance for the individualization of the sanction (Court of Cassation, February 18, 2004, OCP Répartition), the fact that a company expressed reluctance or adopted a follower position during the conclusion of a restrictive competition agreement cannot, conversely, be taken into account as a mitigating circumstance, provided that this company was not subject to irresistible pressure, that it approved the conclusion of the agreement, and that it applied it.  </w:t>
        <w:br/>
        <w:t xml:space="preserve">731. Only the demonstration by the company that its participation in the infringement was substantially reduced, notably because it effectively refrained from applying the agreement in question by adopting competitive behavior in the market (free rider) could be taken into account as a mitigating circumstance (see, for a similar solution, point 29 of the Commission's guidelines for calculating fines imposed under Article 23, paragraph 2, sub a), of Regulation (EC) No. 1/2003 (OJ 2006, C 210, p. 2)).  </w:t>
        <w:br/>
        <w:t>732. It follows that the argument raised is not likely to mitigate the sanction incurred.</w:t>
      </w:r>
    </w:p>
    <w:p>
      <w:r>
        <w:t xml:space="preserve">On the role of instigator of the infringement  </w:t>
        <w:br/>
        <w:t xml:space="preserve">733. In this case, it appears from the minutes of the CIR meetings that five banks clearly expressed their support for the establishment of a fixed interbank commission paid by the presenting bank to the drawee bank: Crédit Agricole, Crédit Mutuel, La Poste, Caisses d’Epargne, and BNP, while the other parties to the negotiation expressed their reluctance. During the meeting of July 1, 1999, the representative of Caisses d’Epargne stated that they "are in favor of the first solution presented by the working group based on (...) a fixed commission of 0.50 F paid by the presenting bank to the drawee bank." The representative of Crédit Agricole also declared himself "in favor" of this solution. The representative of La Poste indicated that his establishment "would prefer the J + 1 solution with commission." The representative of Crédit Mutuel specified that he was "in favor of settlement at J+1 and (...) open to the suggestion of the Banque de France to moderate the amount of the commission." Finally, the representative of BNP stated that he was "strongly in favor of the EIC and the fixed commission paid by the presenting bank" (see the minutes of this meeting, reference 930 et seq.; see also point 102 above).  </w:t>
        <w:br/>
        <w:t xml:space="preserve">734. The role played by these five banks does not carry the qualification of leader (or instigator) of the cartel, which targets companies that represented a significant driving force or had a particular and concrete responsibility in the functioning of the cartel (see, in this sense, the judgment of the Court of Cassation of February 18, 2004, cited above, and for a similar analysis in Community law, the judgments of the Court of First Instance of March 15, 2006, BASF/Commission, T-15/02, Rec. p. II-497, point 374, and of September 8, 2010, Deltafina/Commission, T-29/05, not yet published in Rec., point 332).  </w:t>
        <w:br/>
        <w:t>735. In this case, the five banks nevertheless played an active role in convincing their partners during the CIR negotiations that led to the creation of the commissions in dispute. Thus, a 10% increase will be applied for the calculation of the sanction imposed on Crédit Agricole, Crédit Mutuel, La Banque Postale, Caisses d’Epargne, and BNP, which actively defended the establishment of the commission during the CIR negotiations.</w:t>
      </w:r>
    </w:p>
    <w:p>
      <w:r>
        <w:t xml:space="preserve">On the absence of profit derived from the cartel  </w:t>
        <w:br/>
        <w:t xml:space="preserve">736. HSBC, Banques Populaires, Banque de France, Société Générale, and Caisses d’Epargne argue that they derived no profit from the cartel, or even that it resulted in a financial loss for them, since, as predominantly presenting banks in volume (number of checks), they were net contributors to the CEIC.  </w:t>
        <w:br/>
        <w:t>737. However, the Paris Court of Appeal notes that while the explosion of profits is an aggravating factor for the individualization of the sanction, the reverse is not admissible (see judgment of January 19, 2010, AMD Sud-Ouest, cited above). While the amount of the monetary sanction must be proportionate to the severity of the practices and the damage to the economy, for which the profit derived by the members of the cartel in question can be taken into account, the circumstance that a company derived no benefit from the implementation of a restrictive competition practice cannot prevent the imposition of a sanction and cannot be taken into account as a mitigating circumstance (see,</w:t>
      </w:r>
    </w:p>
    <w:p>
      <w:r>
        <w:rPr>
          <w:b/>
        </w:rPr>
        <w:t>[Pages 136–138]</w:t>
      </w:r>
    </w:p>
    <w:p>
      <w:r>
        <w:t>for a similar analysis conducted by the Community judge, the judgment of the Tribunal of June 25, 2010, Imperial Chemical Industries Ltd, T-66/01, not yet published in the Official Journal, point 443).</w:t>
      </w:r>
    </w:p>
    <w:p>
      <w:r>
        <w:t>738. In any case, it should be noted that the reality of the alleged harm is not established at all, given the possibility that the remitting banks had to pass on all or part of the fees paid to their clients, which they did at least in part.</w:t>
      </w:r>
    </w:p>
    <w:p>
      <w:r>
        <w:t>739. It follows that the argument raised is not likely to mitigate the sanction incurred.</w:t>
      </w:r>
    </w:p>
    <w:p>
      <w:r>
        <w:t>On the position of the parties in the relevant market</w:t>
      </w:r>
    </w:p>
    <w:p>
      <w:r>
        <w:t>740. HSBC invokes its marginal position in the check market.</w:t>
      </w:r>
    </w:p>
    <w:p>
      <w:r>
        <w:t>741. As evidenced by the elements collected during the investigation (see point 66 above), HSBC's position in the check market is significantly more modest, in terms of issuance and remittance volume, than that of the other implicated banks.</w:t>
      </w:r>
    </w:p>
    <w:p>
      <w:r>
        <w:t>742. When setting the amount of fines, the Authority may take into account the influence that the company may have exerted on the market, particularly due to its size and economic power. The turnover normally provides indications on this point (see, for a similar analysis conducted by the Community judge, the judgment of the Court of Justice of June 7, 1983, Musique Diffusion française e.a./Commission, 100/83 to 103/83, Rec. p. 1825, points 120 and 121, and by the national judge, the judgment of the Paris Court of Appeal of September 16, 2010, Raffalli &amp; Cie SARL). It may also be taken into account that turnover only imperfectly reflects the particular situation of a company in the market affected by the practices in question, also considering, as a criterion for determining the amount of the sanction, the market share held by that company in the affected market. Similarly, the aforementioned Commission guidelines provide that the base amount of the fine to be imposed is based on the value of sales of goods or services made by the company, in direct or indirect relation to the infringement, thus reflecting the company's position in the market affected by the practices.</w:t>
      </w:r>
    </w:p>
    <w:p>
      <w:r>
        <w:t>743. In the present case, in order to take into account both the size and economic power of the implicated banks as well as their particular position in the check market, it is appropriate to base the amount of the base sanction on the net banking income generated solely in the national territory, which should be combined, in equal proportions, with the market share of each bank in the issuance and remittance of checks.</w:t>
      </w:r>
    </w:p>
    <w:p>
      <w:r>
        <w:t>On the pass-through of the CEIC</w:t>
      </w:r>
    </w:p>
    <w:p>
      <w:r>
        <w:t>744. The Banques Populaires, Crédit du Nord, La Banque Postale, Société Générale, Caisses d’Epargne, and CIC indicate that they did not increase their unit prices during the period in question. The Banque de France indicates that it has benefited its main client, the public treasury, with a reduction in the check collection time.</w:t>
      </w:r>
    </w:p>
    <w:p>
      <w:r>
        <w:t>745. However, it follows from what has been said above that the pass-through of the CEIC may have been carried out under very diverse modalities, direct (increase in the unit price of check remittance) or indirect (variation of value dates imposed on clients, increase in the price of service packages, movement fees, or other banking services charged to clients). In these conditions, the circumstance that the establishment did not resort to one of the modalities of pass-through of the CEIC is not exclusive of resorting to an alternative modality of pass-through.</w:t>
      </w:r>
    </w:p>
    <w:p>
      <w:r>
        <w:t>746. Therefore, none of the banks mentioned above demonstrates that it did not pass on the CEIC to its clients, or that this pass-through was more moderate than that carried out by the other participants in the agreement.</w:t>
      </w:r>
    </w:p>
    <w:p>
      <w:r>
        <w:t>747. In any case, the Competition Authority is not required to demonstrate the individual participation of each implicated company in the damage to the economy. The assessment of damage to the economy indeed proceeds from a global approach (see, in particular, the judgment of the Paris Court of Appeal of January 28, 2009, Epsé Joué Club, cited above).</w:t>
      </w:r>
    </w:p>
    <w:p>
      <w:r>
        <w:t>On the initiative to abolish the CEIC</w:t>
      </w:r>
    </w:p>
    <w:p>
      <w:r>
        <w:t>748. The Banques Populaires argue that the CEIC was abolished following the letter they took the initiative to send to the governor of the Banque de France. The Banque de France, for its part, argues that it invited the banks to abolish the commission by letter dated July 20, 2007.</w:t>
      </w:r>
    </w:p>
    <w:p>
      <w:r>
        <w:t>749. As recalled in point 665 above, the abolition of the CEIC in the fall of 2007 occurred at an advanced stage of the investigation by the services of the Competition Authority, under the pressure of the ongoing inquiry. In these conditions, it should be considered not as a mitigating circumstance, but as normal behavior of the implicated companies.</w:t>
      </w:r>
    </w:p>
    <w:p>
      <w:r>
        <w:t>4. ON THE AMOUNT OF SANCTIONS</w:t>
      </w:r>
    </w:p>
    <w:p>
      <w:r>
        <w:t>a) On the method of calculating sanctions</w:t>
      </w:r>
    </w:p>
    <w:p>
      <w:r>
        <w:t>750. The European Commission as well as most competition authorities in Europe refer, to set the base amount of the sanction, to the value of sales of goods or services made by the company, in relation to the infringement in the relevant geographical market. The Competition Authority subscribes to this convergent approach, as it allows for better proportionality of the sanction to the economic reality of the infringement. However, in the present case, it is not possible, due to the specificities of the banking sector, to determine the value of sales of issuance and remittance services of checks made by the banks during the period in question. Indeed, this value cannot be quantified, given the various modalities, direct and indirect, of pricing these services, and the existence of significant cross-subsidies with other banking services.</w:t>
      </w:r>
    </w:p>
    <w:p>
      <w:r>
        <w:t>751. In these conditions, the base amount of the sanction will be based on two elements, namely, on the one hand, the market share of each bank in the issuance and remittance of checks and, on the other hand, the net banking income generated by each bank solely in the national territory. The first element allows for consideration of the specific position of each bank in the affected market. The second element allows for consideration of the size and economic power of each bank and, consequently, its contributory capacities. It also allows for consideration of the circumstance that the effect of the disputed practices extended beyond the check market alone, affecting all banking activities of the implicated parties, due to the specific pricing modalities of these activities (cross-subsidies).</w:t>
      </w:r>
    </w:p>
    <w:p>
      <w:r>
        <w:t>Regarding banks other than the Banque de France</w:t>
      </w:r>
    </w:p>
    <w:p>
      <w:r>
        <w:t>752. In order to determine the base amount of the sanction, it is relevant to retain the data relating to the last complete year of the implementation of the practices, corresponding to the year 2006 for the CEIC, and to the year 2009 for the AOCT commissions.</w:t>
      </w:r>
    </w:p>
    <w:p>
      <w:r>
        <w:t>753. However, some banks did not provide data relating to their net banking income for the year 2009. In these conditions, it will be necessary to retain the net banking income generated during the year 2006, for which the Authority has homogeneous data present in the file, in order to determine the sanctions applied for the CEIC as well as those applied for the AOCT commissions.</w:t>
      </w:r>
    </w:p>
    <w:p>
      <w:r>
        <w:t>754. Furthermore, the market share taken into account will be the share of the volumes of intra and interbank checks issued and remitted by each bank compared to the volumes of checks issued and remitted by all the implicated banks (excluding the Banque de France) during the year 2008, the only year for which the Authority has comprehensive data provided by the banks. It should be noted that the analysis of the volumes of interbank checks issued and remitted by the banks during the years 2002 to 2006 (data provided by G-SIT) demonstrates a very high stability in the market shares of each of these establishments during the period in dispute.</w:t>
      </w:r>
    </w:p>
    <w:p>
      <w:r>
        <w:t>755. Given the particular circumstances of the case, the base amount of the sanction will therefore be calculated by multiplying the market share of the concerned bank in the issuance and remittance of checks with the total national net banking income of the implicated parties (excluding the Banque de France), and then adding this first intermediate result to the national net banking income of the concerned bank. A single multiplier coefficient, set according to all the general criteria stated above, will then be applied to this second intermediate result. The base amount of the sanction will thus be calculated as follows: [(relative share of the concerned bank in the issuance and remittance of checks x total net banking income of the implicated parties) + net banking income of the concerned bank] x multiplier coefficient.</w:t>
      </w:r>
    </w:p>
    <w:p>
      <w:r>
        <w:t>756. The surcharges of 20% for recidivism and 10% for the active role played in the agreement will be applied to the base amount, if applicable, to determine the amount of the individual sanction, capped if necessary so as not to exceed the legal ceiling of the sanction applicable to each of the parties.</w:t>
      </w:r>
    </w:p>
    <w:p>
      <w:r>
        <w:t>Regarding the Banque de France</w:t>
      </w:r>
    </w:p>
    <w:p>
      <w:r>
        <w:t>757. The case of the Banque de France must be distinguished from that of the other implicated banks since, in the absence of net banking income, it provided a restated turnover figure to reflect the revenues derived from its commercial activities. This data is not homogeneous with that retained above for the other banks. The amount of the sanction imposed will therefore be calculated by applying a distinct multiplier coefficient to the turnover generated in 2006, to which a reduction will also be applied to take into account that its relative share in the market for the issuance and remittance of checks in 2008 was particularly low (3.02%).</w:t>
      </w:r>
    </w:p>
    <w:p>
      <w:r>
        <w:t>b) On individual sanctions</w:t>
      </w:r>
    </w:p>
    <w:p>
      <w:r>
        <w:t>For BNP-Paribas</w:t>
      </w:r>
    </w:p>
    <w:p>
      <w:r>
        <w:t>758. The legal ceiling of the sanction amounts to 92,376 million euros (gross global banking income of the group in 2007).</w:t>
      </w:r>
    </w:p>
    <w:p>
      <w:r>
        <w:rPr>
          <w:b/>
        </w:rPr>
        <w:t>[Pages 139–141]</w:t>
      </w:r>
    </w:p>
    <w:p>
      <w:r>
        <w:t>759. The relative share of the bank in the market for the issuance and collection of checks being 11.48% and its net banking income for the year 2006 being 10,778 million euros, the base amount of the sanction, determined according to the methods outlined above, is 48.68 million euros, which should be increased by 20% for repetition and by 10% for the active role played by the bank in concluding the agreement.</w:t>
      </w:r>
    </w:p>
    <w:p>
      <w:r>
        <w:t>760. In light of all these elements, the total amount of the sanction imposed on BNP-Paribas amounts to 63.28 million euros, of which 62.65 million euros is for its participation in the agreement on the CEIC and 0.63 million euros for its participation in the agreement on AOCT commissions.</w:t>
      </w:r>
    </w:p>
    <w:p>
      <w:r>
        <w:t>For BPCE, succeeding to the rights and obligations of BP Participations</w:t>
      </w:r>
    </w:p>
    <w:p>
      <w:r>
        <w:t>761. The legal ceiling for the sanction applicable to BP Participations is 34,346 million euros (global banking gross product of the group in 2005).</w:t>
      </w:r>
    </w:p>
    <w:p>
      <w:r>
        <w:t>762. The relative share of the bank in the market for the issuance and collection of checks being 10.77% and its net banking income for the year 2006 being 7,225 million euros, the final amount of the sanction, imposed on BPCE succeeding to the rights and obligations of BP Participations, determined according to the methods outlined above, is 38.09 million euros, of which 37.71 million euros is for its participation in the agreement on the CEIC and 0.38 million euros for its participation in the agreement on AOCT commissions.</w:t>
      </w:r>
    </w:p>
    <w:p>
      <w:r>
        <w:t>For BPCE, succeeding to the rights and obligations of CE Participations</w:t>
      </w:r>
    </w:p>
    <w:p>
      <w:r>
        <w:t>763. The legal ceiling for the sanction applicable to CE Participations is 45,437 million euros (global banking gross product of the group in 2007).</w:t>
      </w:r>
    </w:p>
    <w:p>
      <w:r>
        <w:t>764. The relative share of the Caisse d’Epargne in the market for the issuance and collection of checks being 8.68% and its net banking income for the year 2006 being 9,603 million euros, the base amount of the sanction, determined according to the methods outlined above, is 40.62 million euros, which should be increased by 20% for repetition and by 10% for the active role played by the bank in concluding the agreement.</w:t>
      </w:r>
    </w:p>
    <w:p>
      <w:r>
        <w:t>765. In light of all these elements, the total amount of the sanction imposed on BPCE succeeding to the rights and obligations of CE Participations amounts to 52.81 million euros, of which 52.28 million euros is for its participation in the agreement on the CEIC and 0.53 million euros for its participation in the agreement on AOCT commissions.</w:t>
      </w:r>
    </w:p>
    <w:p>
      <w:r>
        <w:t>For Crédit Agricole</w:t>
      </w:r>
    </w:p>
    <w:p>
      <w:r>
        <w:t>766. The legal ceiling for the sanction is 89,575 million euros (global banking gross product of the group in 2006).</w:t>
      </w:r>
    </w:p>
    <w:p>
      <w:r>
        <w:t>767. The Crédit Agricole group having not provided, despite the request made in this regard, the national net banking income realized respectively by Crédit Agricole, excluding LCL, and by LCL, a breakdown of the national net banking income of the group has been made based on the observed breakdown of the global net banking income of the group. The national net banking income of the group in 2006 is 10,439 million euros, which corresponds to 8,057 million euros for Crédit Agricole, excluding LCL, and to 2,382 million euros for LCL.</w:t>
      </w:r>
    </w:p>
    <w:p>
      <w:r>
        <w:t>768. The relative share of the bank in the market for the issuance and collection of checks being 24.02% and its net banking income for the year 2006, determined according to the methods outlined above, being 8,057 million euros, the base amount of the sanction is 63.80 million euros, which should be increased by 20% for repetition and by 10% for the active role played by the bank in concluding the agreement.</w:t>
      </w:r>
    </w:p>
    <w:p>
      <w:r>
        <w:t>769. In light of all these elements, the total amount of the sanction imposed on Crédit Agricole SA amounts to 82.94 million euros, of which 82.11 million euros is for its participation in the agreement on the CEIC and 0.83 million euros for its participation in the agreement on AOCT commissions.</w:t>
      </w:r>
    </w:p>
    <w:p>
      <w:r>
        <w:t>For LCL</w:t>
      </w:r>
    </w:p>
    <w:p>
      <w:r>
        <w:t>770. The legal ceiling for the sanction is 89,575 million euros (global banking gross product of the group in 2006).</w:t>
      </w:r>
    </w:p>
    <w:p>
      <w:r>
        <w:t>771. The Crédit Agricole group having not provided, despite the request made in this regard, the national net banking income realized respectively by Crédit Agricole, excluding LCL, and by LCL, a breakdown of the national net banking income of the group has been made based on the observed breakdown of the global net banking income of the group. The national net banking income of the group in 2006 is 10,439 million euros, which corresponds to 8,057 million euros for Crédit Agricole, excluding LCL, and to 2,382 million euros for LCL.</w:t>
      </w:r>
    </w:p>
    <w:p>
      <w:r>
        <w:t>772. The relative share of the bank in the market for the issuance and collection of checks being 6.30% and its net banking income for the year 2006 being 2,382 million euros, the base amount of the sanction, determined according to the methods outlined above, is 17.44 million euros, which should be increased by 20% for repetition.</w:t>
      </w:r>
    </w:p>
    <w:p>
      <w:r>
        <w:t>773. In light of all these elements, the total amount of the sanction imposed on LCL amounts to 20.93 million euros, of which 20.72 million euros is for its participation in the agreement on the CEIC and 0.21 million euros for its participation in the agreement on AOCT commissions.</w:t>
      </w:r>
    </w:p>
    <w:p>
      <w:r>
        <w:t>For HSBC</w:t>
      </w:r>
    </w:p>
    <w:p>
      <w:r>
        <w:t>774. HSBC did not provide the global banking gross product of the group during the reference period, indicating that this data does not exist for a company under English law. In any case, the amount of the sanction does not exceed the highest global net banking income realized by the group during the reference period, which is 81,682 million euros for the year 2008.</w:t>
      </w:r>
    </w:p>
    <w:p>
      <w:r>
        <w:t>775. The relative share of the bank in the market for the issuance and collection of checks being 1.23% and its net banking income for the year 2006 being 2,614 million euros, the final amount of the sanction imposed on HSBC, determined according to the methods outlined above, is 9.05 million euros, of which 8.96 million euros is for its participation in the agreement on the CEIC and 0.09 million euros for its participation in the agreement on AOCT commissions.</w:t>
      </w:r>
    </w:p>
    <w:p>
      <w:r>
        <w:t>For CIC</w:t>
      </w:r>
    </w:p>
    <w:p>
      <w:r>
        <w:t>776. The legal ceiling for the sanction is 14,769 million euros (global banking gross product of the group in 2007).</w:t>
      </w:r>
    </w:p>
    <w:p>
      <w:r>
        <w:t>777. The relative share of the bank in the market for the issuance and collection of checks being 6.12% and its net banking income for the year 2006 being 3,917 million euros, the final amount of the sanction imposed on CIC, determined according to the methods outlined above, is 21.15 million euros, of which 20.94 million euros is for its participation in the agreement on the CEIC and 0.21 million euros for its participation in the agreement on AOCT commissions.</w:t>
      </w:r>
    </w:p>
    <w:p>
      <w:r>
        <w:t>For Crédit Mutuel</w:t>
      </w:r>
    </w:p>
    <w:p>
      <w:r>
        <w:t>778. The grievances have been notified to the National Confederation of Crédit Mutuel, an association governed by the law of July 1, 1901. In application of the aforementioned provisions of I of Article L. 464-2 of the Commercial Code, the ceiling for the sanction applicable to this establishment is therefore 3 million euros.</w:t>
      </w:r>
    </w:p>
    <w:p>
      <w:r>
        <w:t>779. The relative share of the bank in the market for the issuance and collection of checks being 10.23% and its net banking income for the year 2006 being 6,373.7 million euros, the base amount of the sanction, determined according to the methods outlined above, is 34.90 million euros, which should be increased by 20% for repetition and by 10% for the active role played by the bank in concluding the agreement.</w:t>
      </w:r>
    </w:p>
    <w:p>
      <w:r>
        <w:t>780. In light of all these elements, the total amount of the sanction imposed on Crédit Mutuel should amount to 45.37 million euros. Given the applicable legal ceiling, this sanction is reduced to 3 million euros, of which 2.97 million euros is for its participation in the agreement on the CEIC and 0.03 million euros for its participation in the agreement on AOCT commissions.</w:t>
      </w:r>
    </w:p>
    <w:p>
      <w:r>
        <w:t>For Société Générale</w:t>
      </w:r>
    </w:p>
    <w:p>
      <w:r>
        <w:t>781. The legal ceiling for the sanction is 66,821 million euros (global revenue of the group in terms of concentration control realized in 2007).</w:t>
      </w:r>
    </w:p>
    <w:p>
      <w:r>
        <w:t>782. The relative share of the bank in the market for the issuance and collection of checks being 9.47% and its net banking income for the year 2006 being 10,570 million euros, the base amount of the sanction, determined according to the methods outlined above, is 44.56 million euros, which should be increased by 20% for repetition.</w:t>
      </w:r>
    </w:p>
    <w:p>
      <w:r>
        <w:t>783. In light of all these elements, the total amount of the sanction imposed on Société Générale amounts to 53.48 million euros, of which 52.94 million euros is for its participation in the agreement on the CEIC and 0.53 million euros for its participation in the agreement on AOCT commissions.</w:t>
      </w:r>
    </w:p>
    <w:p>
      <w:r>
        <w:t>For Crédit du Nord</w:t>
      </w:r>
    </w:p>
    <w:p>
      <w:r>
        <w:t>784. The legal ceiling for the sanction is 66,821 million euros (global revenue of the group in terms of concentration control realized in 2007).</w:t>
      </w:r>
    </w:p>
    <w:p>
      <w:r>
        <w:t>785. The relative share of the bank in the market for the issuance and collection of checks being 1.69% and its net banking income for the year 2006 being 1,516 million euros, the final amount of the sanction imposed on Crédit du Nord, determined according to the methods outlined above, is 6.98 million euros, of which 6.91 million euros is for its participation in the agreement on the CEIC and 0.07 million euros for its participation in the agreement on AOCT commissions.</w:t>
      </w:r>
    </w:p>
    <w:p>
      <w:r>
        <w:rPr>
          <w:b/>
        </w:rPr>
        <w:t>[Pages 142–144]</w:t>
      </w:r>
    </w:p>
    <w:p>
      <w:r>
        <w:t xml:space="preserve">For La Banque Postale  </w:t>
        <w:br/>
        <w:t xml:space="preserve">786. The legal ceiling of the sanction amounts to 20,829 million euros (global turnover of the group achieved in 2008).  </w:t>
        <w:br/>
        <w:t xml:space="preserve">787. The relative share of the bank in the market for the issuance and collection of checks being 10.01% and its net banking income for the year 2006 being 4,612 million euros, the base amount of the sanction, determined according to the modalities set out above, is 29.88 million euros, which should be increased by 10% due to the active role played by the bank in concluding the agreement.  </w:t>
        <w:br/>
        <w:t xml:space="preserve">788. In light of all these elements, the total amount of the sanction imposed on La Banque Postale amounts to 32.87 million euros, of which 32.54 million euros is for its participation in the agreement on the CEIC and 0.33 million euros for its participation in the agreement on AOCT commissions.  </w:t>
        <w:br/>
        <w:t xml:space="preserve">For the Banque de France  </w:t>
        <w:br/>
        <w:t xml:space="preserve">789. The turnover of the Banque de France being 212.8 million euros in 2006, the final amount of the sanction, determined according to the modalities set out above, is 350,000 euros, of which 346,500 euros is for its participation in the agreement on the CEIC and 3,500 euros for its participation in the agreement on AOCT commissions.  </w:t>
        <w:br/>
        <w:t xml:space="preserve">F. ON THE PRONOUNCEMENT OF AN INJUNCTION  </w:t>
        <w:br/>
        <w:t xml:space="preserve">790. According to Article L. 462-6 of the Commercial Code: "The Competition Authority examines whether the practices brought to its attention fall within the scope of Articles L. 420-1, L. 420-2 or L. 420-5 or may be justified by the application of Article L. 420-4. It imposes, where appropriate, sanctions and injunctions." Article L. 464-2-I also provides that "The Competition Authority may order the parties to cease anti-competitive practices within a specified period or impose specific conditions (...)."  </w:t>
        <w:br/>
        <w:t xml:space="preserve">791. The issuance of injunctions on the merits is subject to the principle of proportionality, which means that the measures ordered must not exceed what is strictly necessary to put an end to the infringement of competition. However, the issuance of injunctions appears particularly necessary when the infringement of competition results from an agreement in force at the date of the Authority's decision.  </w:t>
        <w:br/>
        <w:t xml:space="preserve">792. In this case, the complaint notified regarding the implementation of AOCT commissions results from the conditions of interbank compensation for checks established by the banks within the framework of their agreement of February 3, 2000. These commissions are still in effect at the date of the Authority's decision, without their calculation method having been modified since their implementation.  </w:t>
        <w:br/>
        <w:t xml:space="preserve">793. In this context, the Competition Authority is entitled to order the parties to revise the amount of AOCT commissions to ensure that it is proportionate to the expected efficiency gains, and consequently, to bring these commissions into compliance with the provisions of Article L. 420-4 of the Commercial Code and the stipulations of Article 101, paragraph 3, TFEU. It is appropriate to require the banks to carry out this revision within a period of six months from the notification of this decision, and to set the amount of these commissions based on the processing cost of AOCT transactions achieved by the most efficient bank, as verified by a cost study conducted with a representative sample of banking institutions and verified by an independent expert.  </w:t>
        <w:br/>
        <w:t xml:space="preserve">G. ON THE OBLIGATION TO PUBLISH  </w:t>
        <w:br/>
        <w:t xml:space="preserve">794. In order to inform the actors and users of the services for the issuance and collection of checks of this decision, it is necessary to order the parties involved to publish at their expense, in proportion to the sanctions imposed, in the editions of Le Monde and Les Echos the summary of this decision set out in the following point.  </w:t>
        <w:br/>
        <w:t xml:space="preserve">795. Summary of the decision:  </w:t>
        <w:br/>
        <w:t xml:space="preserve">"Following an ex officio referral, the Competition Authority has just rendered a decision by which it sanctions the Banque de France, BPCE (resulting from the merger between the Banques Populaires and the Caisses d’Epargne), La Banque Postale, BNP-Paribas, the National Confederation of Credit Mutuel, Crédit Agricole, Crédit du Nord, Crédit Industriel et Commercial (CIC), LCL, HSBC, and Société Générale, to the amount of 384.92 million euros for having colluded in the check market.  </w:t>
        <w:br/>
        <w:t xml:space="preserve">The establishment of new interbank commissions during the dematerialization of check exchanges  </w:t>
        <w:br/>
        <w:t xml:space="preserve">During the implementation of the new dematerialized interbank check compensation system (system called Echange Images-Chèques, hereinafter EIC), the main banks in the market gathered to jointly define the operating conditions of this new system. They collectively decided to create several interbank commissions, the legality of which the Authority examined in light of competition law.  </w:t>
        <w:br/>
        <w:t xml:space="preserve">The Competition Authority applied national law, but also community law, considering that the practices in question potentially affected the freedom of establishment of foreign banks in France.  </w:t>
        <w:br/>
        <w:t xml:space="preserve">The Competition Authority considered that the image check exchange commission (CEIC) was anti-competitive.  </w:t>
        <w:br/>
        <w:t xml:space="preserve">The CEIC is a per transaction commission, with a uniform amount of 4.3 euro cents per check, paid by the bank of the presenter (the beneficiary of the check) to the bank of the drawee (the issuer of the check). It was presented by the banks as intended to compensate for the loss of liquidity caused by the acceleration of interbank settlement of checks linked to the dematerialization of exchanges, to the detriment of the drawee banks. Debited earlier, these banks lose the ability to invest for their own account for as long as they previously could the amounts corresponding to the checks issued by their clients. Conversely, the presenting banks, credited earlier, can invest for their own account more quickly than before the amounts corresponding to the checks deposited by their clients.  </w:t>
        <w:br/>
        <w:t xml:space="preserve">This commission, levied on 80% of the checks exchanged in France between January 2002 and July 2007, was abolished in October 2007, this abolition occurring at an advanced stage of the Competition Authority's investigation and under the pressure of the ongoing inquiry.  </w:t>
        <w:br/>
        <w:t xml:space="preserve">The creation of the CEIC, which corresponds to no service rendered, had the consequence of artificially increasing the costs borne by the presenting banks, which thus directly or indirectly affected the price level of banking services.  </w:t>
        <w:br/>
        <w:t xml:space="preserve">The Authority considered that it was not established that the transition to the EIC resulted in net losses for any of the participating banks, which could have potentially justified a compensation mechanism for the losing banks by the winning banks. Indeed, the liquidity losses on the checks drawn were compensated by the liquidity gains on the checks presented and by the cost savings from the dematerialization of exchanges.  </w:t>
        <w:br/>
        <w:t xml:space="preserve">In any case, the CEIC, due to its fixed nature, did not allow for the real compensation of the gross losses of the drawee banks, which were linked to the average amounts of checks exchanged by each bank (and not to their number), these amounts varying greatly depending on the institutions concerned.  </w:t>
        <w:br/>
        <w:t xml:space="preserve">As a result, the Competition Authority did not exempt this commission, which therefore does not escape the prohibition imposed by competition rules.  </w:t>
        <w:br/>
        <w:t xml:space="preserve">The Authority exempted all commissions for ancillary services except for the so-called AOCT commissions (cancellation of wrongly compensated transactions).  </w:t>
        <w:br/>
        <w:t xml:space="preserve">Eight commissions for services rendered were created to compensate for the newly rendered services by one category of banks to another (such as the processing of rejections) and to compensate for the transfer of burdens resulting from the dematerialization of the check exchange system (such as the archiving of vouchers).  </w:t>
        <w:br/>
        <w:t xml:space="preserve">Although the amount of each of these commissions was mutually agreed upon at a uniform level, the Authority nevertheless admitted that they could benefit from an exemption, except for the AOCT commissions, insofar as the implicated banks did not demonstrate that the amount of the latter was related to the costs of the service rendered. Consequently, the Authority ordered the concerned banks to revise them by setting their amount based on the costs of the most efficient bank.  </w:t>
        <w:br/>
        <w:t xml:space="preserve">Practices that have driven up the price of banking services  </w:t>
        <w:br/>
        <w:t xml:space="preserve">The banks have passed on the CEIC, at least in part, either directly through an increase in the unit prices of check deposits (particularly in the case of companies presenting a high volume of checks such as large retail companies), or indirectly through the increase in the price of other banking services (cross-subsidies). The direct and full pass-through of the commission is established concerning the Public Treasury, the main client of the Banque de France, the total amount passed on over the entire period amounting to 36 million euros.  </w:t>
        <w:br/>
        <w:t xml:space="preserve">Ultimately, while the dematerialization of the compensation system has allowed banks to achieve significant savings, consumers and businesses have not been able to fully benefit from this economic progress.  </w:t>
        <w:br/>
        <w:t>Banking services are of extreme importance for both businesses and consumers. Even though its use has declined, the check remains one of the main means of payment used in France and accounted for 26% of scriptural payments in 2006. Furthermore, these practices occurred in a market where competition is already limited due to banking monopoly and pricing opacity, recently highlighted by the Constans/Pauget report on the pricing of banking services, submitted to the Minister of Economy, Industry and Employment in July 2010.</w:t>
      </w:r>
    </w:p>
    <w:p>
      <w:r>
        <w:rPr>
          <w:b/>
        </w:rPr>
        <w:t>[Pages 145–147]</w:t>
      </w:r>
    </w:p>
    <w:p>
      <w:r>
        <w:t>sanctions set according to the severity of the practices, the damage to the economy, and the individual situation of each bank</w:t>
      </w:r>
    </w:p>
    <w:p>
      <w:r>
        <w:t>The Competition Authority took into account, for the determination of sanctions, the severity and duration of the practices (horizontal agreement, duration exceeding five years), but also three circumstances mitigating this severity: the agreement does not constitute a collusion on final prices; it was concluded in the context of the transition to the EIC, a project of general interest whose implementation was actively supported by the Banque de France; finally, the agreement cannot be equated with a secret cartel.</w:t>
      </w:r>
    </w:p>
    <w:p>
      <w:r>
        <w:t>It also considered the damage to the economy (size of the affected market, effect on prices). The Authority calculated that, for each cent passed on, the increase in prices paid by customers amounts to nearly 220 million euros over the entire period considered.</w:t>
      </w:r>
    </w:p>
    <w:p>
      <w:r>
        <w:t>The Authority finally took into account the individual situation of each bank, particularly its position in the check market and its economic power. It increased the sanction by 10% to account for the fact that Crédit Agricole, Crédit Mutuel, La Poste, Caisses d'Épargne, and BNP played an active role in concluding the agreement by supporting the establishment of the CEIC during the negotiations that preceded the establishment of the EIC system.</w:t>
      </w:r>
    </w:p>
    <w:p>
      <w:r>
        <w:t>It also increased the sanction by 20% for the repetition for Crédit Mutuel, Caisses d'Épargne, Société Générale, Crédit Agricole, BNP, and LCL, which had already been sanctioned in 2000 for collusion practices (decision no. 00-D-28 of September 19, 2000, concerning the state of competition in the mortgage credit sector).</w:t>
      </w:r>
    </w:p>
    <w:p>
      <w:r>
        <w:t xml:space="preserve">The following monetary fines are imposed: </w:t>
        <w:br/>
        <w:t xml:space="preserve">to the Banque de France, a sanction of 346,500 euros for the first grievance and 3,500 euros for the second grievance. </w:t>
        <w:br/>
        <w:t xml:space="preserve">to BPCE, succeeding the rights and obligations of BP Participations, a sanction of 37,710,000 euros for the first grievance and 380,000 euros for the second grievance; </w:t>
        <w:br/>
        <w:t xml:space="preserve">to BPCE, succeeding the rights and obligations of CE Participations, a sanction of 52,280,000 euros for the first grievance and 530,000 euros for the second grievance; </w:t>
        <w:br/>
        <w:t xml:space="preserve">to La Banque Postale, a sanction of 32,540,000 euros for the first grievance and 330,000 euros for the second grievance; </w:t>
        <w:br/>
        <w:t xml:space="preserve">to BNP-Paribas, a sanction of 62,650,000 euros for the first grievance and 630,000 euros for the second grievance; </w:t>
        <w:br/>
        <w:t xml:space="preserve">to Crédit Agricole, a sanction of 82,110,000 euros for the first grievance and 830,000 euros for the second grievance; </w:t>
        <w:br/>
        <w:t xml:space="preserve">to Crédit Mutuel, a sanction of 2,970,000 euros for the first grievance and 30,000 euros for the second grievance; </w:t>
        <w:br/>
        <w:t xml:space="preserve">to Crédit du Nord, a sanction of 6,910,000 euros for the first grievance and 70,000 euros for the second grievance; </w:t>
        <w:br/>
        <w:t xml:space="preserve">to Crédit Industriel et Commercial, a sanction of 20,940,000 euros for the first grievance and 210,000 euros for the second grievance; </w:t>
        <w:br/>
        <w:t xml:space="preserve">to LCL, a sanction of 20,720,000 euros for the first grievance and 210,000 euros for the second grievance, for which Crédit Agricole will be jointly and severally liable for 15,000,000 euros for the first grievance and 152,000 euros for the second grievance; </w:t>
        <w:br/>
        <w:t xml:space="preserve">to HSBC, a sanction of 8,960,000 euros for the first grievance and 90,000 euros for the second grievance; </w:t>
        <w:br/>
        <w:t>to Société Générale, a sanction of 52,940,000 euros for the first grievance and 530,000 euros for the second grievance;</w:t>
      </w:r>
    </w:p>
    <w:p>
      <w:r>
        <w:t>The full text of the decision of the Competition Authority is available on the website: www.autoritedelaconcurrence.fr.</w:t>
      </w:r>
    </w:p>
    <w:p>
      <w:r>
        <w:t>H. ON THE COSTS OF THE EXPERTISE</w:t>
      </w:r>
    </w:p>
    <w:p>
      <w:r>
        <w:t>796. According to Article L. 463-8, third paragraph, of the Commercial Code: "The financing of the expertise is the responsibility of the party requesting it or that of the Authority in the case where it is ordered at the request of the rapporteur. However, the Authority may, in its decision on the merits, place the final burden on the party or parties sanctioned in proportions that it determines."</w:t>
      </w:r>
    </w:p>
    <w:p>
      <w:r>
        <w:t>797. In this case, the costs of the expertise decided, under the conditions set out in points 7 to 10 above, by the general rapporteur by decisions of December 16, 2008, and February 17, 2009, and paid by the Competition Authority, will be jointly and proportionately charged to the Banque de France, BPCE, La Banque Postale, BNP-Paribas, the National Confederation of Crédit Mutuel, Crédit Agricole SA, Crédit du Nord, Crédit Industriel et Commercial (CIC), LCL, HSBC, and Société Générale.</w:t>
      </w:r>
    </w:p>
    <w:p>
      <w:r>
        <w:t>DECISION</w:t>
      </w:r>
    </w:p>
    <w:p>
      <w:r>
        <w:t>Article 1: It is established that the Banque de France, BPCE, succeeding the rights and obligations of BP Participations and CE Participations, La Banque Postale, BNP-Paribas, the National Confederation of Crédit Mutuel, Crédit Agricole, Crédit du Nord, Crédit Industriel et Commercial (CIC), LCL, HSBC, and Société Générale have violated the provisions of Article L. 420-1 of the Commercial Code and Article 81 of the EC Treaty, now Article 101 of the Treaty on the Functioning of the European Union, under the grievance of collusion due to the establishment of the interbank commission for the exchange of check images (CEIC) and the collection of this commission from January 1, 2002, to July 1, 2007.</w:t>
      </w:r>
    </w:p>
    <w:p>
      <w:r>
        <w:t>Article 2: It is established that the legal entities referred to in Article 1 have violated the provisions of Article L. 420-1 of the Commercial Code and Article 81 EC under the grievance of collusion due to the establishment of interbank commissions for ancillary services on the cancellation of wrongly compensated transactions (AOCT) and the collection of these commissions from January 1, 2002.</w:t>
      </w:r>
    </w:p>
    <w:p>
      <w:r>
        <w:t>Article 3: It is not established that the other practices referred to by the second grievance notified, relating to commissions for ancillary services, are contrary to the provisions mentioned above.</w:t>
      </w:r>
    </w:p>
    <w:p>
      <w:r>
        <w:t xml:space="preserve">Article 4: The following monetary sanctions are imposed: </w:t>
        <w:br/>
        <w:t xml:space="preserve">to the Banque de France, a sanction of 346,500 euros for the first grievance and 3,500 euros for the second grievance. </w:t>
        <w:br/>
        <w:t xml:space="preserve">to BPCE, succeeding the rights and obligations of BP Participations, a sanction of 37,710,000 euros for the first grievance and 380,000 euros for the second grievance; </w:t>
        <w:br/>
        <w:t xml:space="preserve">to BPCE, succeeding the rights and obligations of CE Participations, a sanction of 52,280,000 euros for the first grievance and 530,000 euros for the second grievance; </w:t>
        <w:br/>
        <w:t xml:space="preserve">to La Banque Postale, a sanction of 32,540,000 euros for the first grievance and 330,000 euros for the second grievance; </w:t>
        <w:br/>
        <w:t xml:space="preserve">to BNP-Paribas, a sanction of 62,650,000 euros for the first grievance and 630,000 euros for the second grievance; </w:t>
        <w:br/>
        <w:t xml:space="preserve">to Crédit Agricole, a sanction of 82,110,000 euros for the first grievance and 830,000 euros for the second grievance; </w:t>
        <w:br/>
        <w:t xml:space="preserve">to Crédit Mutuel, a sanction of 2,970,000 euros for the first grievance and 30,000 euros for the second grievance; </w:t>
        <w:br/>
        <w:t xml:space="preserve">to Crédit du Nord, a sanction of 6,910,000 euros for the first grievance and 70,000 euros for the second grievance; </w:t>
        <w:br/>
        <w:t xml:space="preserve">to Crédit Industriel et Commercial, a sanction of 20,940,000 euros for the first grievance and 210,000 euros for the second grievance; </w:t>
        <w:br/>
        <w:t>to LCL, a sanction of 20,720,000 euros for the first grievance and 210,000 euros for the second grievance, for which Crédit Agricole will be jointly and severally liable for 15,000,000 euros for the first grievance and 152,000 euros for the second grievance;</w:t>
      </w:r>
    </w:p>
    <w:p>
      <w:r>
        <w:rPr>
          <w:b/>
        </w:rPr>
        <w:t>[Pages 148–148]</w:t>
      </w:r>
    </w:p>
    <w:p>
      <w:r>
        <w:t xml:space="preserve">to HSBC, a sanction of 8,960,000 euros for the first grievance and 90,000 euros for the second grievance;  </w:t>
        <w:br/>
        <w:t xml:space="preserve">to Société Générale, a sanction of 52,940,000 euros for the first grievance and 530,000 euros for the second grievance;  </w:t>
        <w:br/>
        <w:t xml:space="preserve">Article 5: The legal entities referred to in Article 1 are ordered to revise the amount of the AOCT commissions within six months from the notification of this decision, in order to cease the infringement referred to in Article 2. These companies are requested to set the amount based on the processing cost of AOCT operations achieved by the most efficient bank, as verified by a cost study conducted with a representative sample of banks and verified by an independent expert.  </w:t>
        <w:br/>
        <w:t xml:space="preserve">Article 6: The legal entities referred to in Article 1 shall publish the text appearing in point 795 of this decision, respecting the formatting, in the editions of the newspapers Le Monde and Les Echos. These publications shall appear in a box with black characters on a white background with a height of at least three millimeters under the following title, in bold characters of the same size: "Decision of the Competition Authority No. 10-D-28 of September 20, 2010, regarding the rates and conditions applied by banks and financial institutions for the processing of checks submitted for collection." They may be followed by a mention that the decision has been appealed to the Court of Appeal of Paris if such appeals are filed. The concerned legal entities shall send, by registered mail, to the procedure office, a copy of these publications, as soon as they are published and no later than November 20, 2010.  </w:t>
        <w:br/>
        <w:t xml:space="preserve">Article 7: Pursuant to the provisions of Article L. 463-8, third paragraph, of the Commercial Code, the costs of the expertise decided by the General Rapporteur by decisions of December 16, 2008, and February 17, 2009, shall be borne jointly and in proportion to the sanctions imposed by the legal entities referred to in Article 1.  </w:t>
        <w:br/>
        <w:t xml:space="preserve">Deliberated on the oral report of Messrs. Maximin Sanson and Cédric Nouël de Buzonnière and the intervention of Ms. Virginie Beaumeunier, General Rapporteur, by Mr. Bruno Lasserre, President, session chair, Ms. Françoise Aubert, Ms. Anne Perrot, and Mr. Patrick Spilliaert, Vice-Presidents, Ms. Carol Xueref and Ms. Laurence Idot, and Messrs. Jean-Bertrand Drummen and Thierry Tuot, members.  </w:t>
        <w:br/>
        <w:t xml:space="preserve">The session secretary, The President,  </w:t>
        <w:br/>
        <w:t xml:space="preserve">Marie Anselme Lienafa 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