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https://www.autoritedelaconcurrence.fr/fr/decision/relative-certaines-pratiques-constatees-dans-le-secteur-du-demenagement</w:t>
      </w:r>
    </w:p>
    <w:p>
      <w:r>
        <w:t>Pages translated : 8</w:t>
      </w:r>
    </w:p>
    <w:p/>
    <w:p>
      <w:r>
        <w:rPr>
          <w:b/>
        </w:rPr>
        <w:t>[Pages 1–3]</w:t>
      </w:r>
    </w:p>
    <w:p>
      <w:r>
        <w:t xml:space="preserve">FRENCH REPUBLIC  </w:t>
        <w:br/>
        <w:t xml:space="preserve">Decision No. 93-D-27 of June 30, 1993  </w:t>
        <w:br/>
        <w:t xml:space="preserve">regarding certain practices observed in the moving sector  </w:t>
        <w:br/>
        <w:t xml:space="preserve">The Competition Council (permanent commission),  </w:t>
        <w:br/>
        <w:t xml:space="preserve">Having regard to the letter registered on March 25, 1991 under number F 401 by which the Minister of State, Minister of Economy, Finance and Budget, referred to the Competition Council practices observed in the moving sector;  </w:t>
        <w:br/>
        <w:t xml:space="preserve">Having regard to Ordinance No. 86-1243 of December 1, 1986 concerning price freedom and competition, as amended, together with Decree No. 86-1309 of December 29, 1986, as amended, taken for its application;  </w:t>
        <w:br/>
        <w:t xml:space="preserve">Having regard to Law No. 92-1445 of December 31, 1992 concerning subcontracting relations in the field of road transport of goods;  </w:t>
        <w:br/>
        <w:t xml:space="preserve">Having regard to the decision of the Competition Council No. 92-D-37 of June 2, 1992;  </w:t>
        <w:br/>
        <w:t xml:space="preserve">Having regard to the letter from the President of the Competition Council dated September 10, 1992 referring to the provisions of Article 22 of the aforementioned ordinance;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representative of the parties heard;  </w:t>
        <w:br/>
        <w:t xml:space="preserve">Adopts the decision based on the findings (1) and the reasons (2) set out below:  </w:t>
        <w:br/>
        <w:t xml:space="preserve">I. - FINDINGS  </w:t>
        <w:br/>
        <w:t xml:space="preserve">A. - The sector and the trade union organization  </w:t>
        <w:br/>
        <w:t>A move includes the following services: packing and loading from the old residence, transport and unloading at the new residence. This set of services, inseparable, is identical regardless of the client, whether a business or an individual, although the service requested by a client is unique, in the sense that only the number of cubic meters of furniture to be moved, the distance from the old to the new residence, etc., are specific to their case.</w:t>
      </w:r>
    </w:p>
    <w:p>
      <w:r>
        <w:t xml:space="preserve">The moving sector as a whole represents 3.9 billion francs in annual turnover, for 2 million moves carried out by 1,500 companies employing 18,000 people and using 4,500 trucks. Half of these companies employ fewer than 5 employees, and less than 2 percent employ more than 50.  </w:t>
        <w:br/>
        <w:t xml:space="preserve">During the last period, the profession faced several issues; the seasonal nature of the activity, stability in volume, predominance of moves carried out by individuals (84 percent of the number of moves) mainly over short distances, which account for 67 percent of total moves, increase in the weight of long-distance moves since 1985, elimination of the moving allowance in 1987. For all these reasons, companies in the sector have, among other measures, proceeded to consolidations, including the acquisition of local companies by the large national group A.G.S., as well as the creation of 'networks' most frequently established in the form of G.I.E. or S.A., including Frandem, Interdem, Demepool, Les Déménageurs bretons, France-Armor, and Déméco.  </w:t>
        <w:br/>
        <w:t xml:space="preserve">Founded in 1890, the trade union chamber of moving and storage companies in France is the only professional organization in the sector. In 1988, it had more than 1,000 members. With the profession counting approximately 1,500 companies, the unionization rate in the sector stands at nearly 67 percent. All member companies of the trade union chamber would represent 80 percent of the profession's turnover.  </w:t>
        <w:br/>
        <w:t xml:space="preserve">In order to provide certain services and sell certain supplies to its members, the trade union chamber has created sister associations and commercial companies, including I.T.D. Services. Finally, the Déméco network, the largest in France, consists solely of companies belonging to this trade union chamber.  </w:t>
        <w:br/>
        <w:t xml:space="preserve">B. - The practices observed  </w:t>
        <w:br/>
        <w:t xml:space="preserve">Regarding S.A. Déméco:  </w:t>
        <w:br/>
        <w:t xml:space="preserve">With 72 member-shareholders, who cannot belong to another grouping, who are distributed across 110 points of sale and who achieve an annual turnover of approximately 455 million francs, the Déméco network is the largest in the sector, with a market share of about 10 percent.  </w:t>
        <w:br/>
        <w:t xml:space="preserve">The public limited company Déméco achieved a turnover excluding tax of 29.4 million francs in 1991. In accordance with its statutes and internal regulations, its capital can only be held, at 300 shares each, by members of the trade union chamber of moving and storage companies in France, whether they are moving companies or legal entities whose entire partners are themselves shareholders.  </w:t>
        <w:br/>
        <w:t>This company performs, on behalf of its member-shareholders, the following functions: group marketing, national advertising, canvassing of major clients, purchasing center for supplies, training, exploitation of the 'Déméco' brand. It is also the one that defines 'the rules of relations between agents.'</w:t>
      </w:r>
    </w:p>
    <w:p>
      <w:r>
        <w:t xml:space="preserve">According to this company, it 'is responsible for organizing a coordination system among its members that allows for the exchange of materials, the provision of labor, the rental of storage space, and the centralization of chartering offers and requests.'  </w:t>
        <w:br/>
        <w:t xml:space="preserve">On this last point, it organizes the 'regulation' among its shareholders and the computerized management thereof. This is a subcontracting system in which an ordering company (the 'giver') that cannot practically carry out the move offers it to all its co-shareholders, one of whom (the 'taker') will perform it as a subcontractor.  </w:t>
        <w:br/>
        <w:t xml:space="preserve">In principle, the shareholders (or 'agents') otherwise retain their freedom of financial and commercial management. In particular, they determine their own selling prices to customers and can operate their profession throughout the national territory as well as abroad.  </w:t>
        <w:br/>
        <w:t xml:space="preserve">In practice, however, the shareholders have agreed to limit their commercial freedom regarding prices:  </w:t>
        <w:br/>
        <w:t xml:space="preserve">1. - For services performed by a 'Déméco agent' on behalf of another member of the network (provision of personnel, site visit, sale of packaging, lift services), prices are not negotiated between the partners but are determined by S.A. Déméco. The rate that came into effect in June 1991 is included in the file under 'reference' 701.  </w:t>
        <w:br/>
        <w:t xml:space="preserve">2. - Every year, S.A. Déméco also establishes and disseminates 'floor prices' excluding tax valid for 'standard moves', calculated 'based on a representative panel of (s) agents to determine what should be the normally remunerative base price for an executor.'  </w:t>
        <w:br/>
        <w:t xml:space="preserve">These 'floor prices' have been established 'in relation to the average cost price of the components involved in the moving service', on the one hand for moves from the Paris region to the provinces and vice versa, beyond 10 cubic meters (below this, they are negotiated over-the-counter), from 2 cubic meters in 2 cubic meters and for five concentric zones, and on the other hand, for province-to-province moves, from 2 cubic meters in 2 cubic meters and from 50 kilometers in 50 kilometers. They appear in three rates, blue, white, and red, 'corresponding to three different periods of the year during which the move is carried out.' The blue and red rates are respectively 11 percent lower and higher than the white rate. The blue, white, and red rates in effect until June 15, 1992 are attached to the file under references 703 to 714. They include, in a box, the following mentions: 'These prices are in no way a customer rate. These prices are floor prices below which one cannot consider the normal intervention of Déméco regulation, except by special agreement between the taker and the giver.'  </w:t>
        <w:br/>
        <w:t>The distribution between the 'taker' and the 'giver' of the price excluding tax received from the client is as follows:</w:t>
      </w:r>
    </w:p>
    <w:p>
      <w:r>
        <w:rPr>
          <w:b/>
        </w:rPr>
        <w:t>[Pages 4–6]</w:t>
      </w:r>
    </w:p>
    <w:p>
      <w:r>
        <w:t>entreprises de déménagement' comme un objectif de cette régulation;</w:t>
      </w:r>
    </w:p>
    <w:p>
      <w:r>
        <w:t>Mais considérant que, d'une part, la société Déméco ne démontre pas que l'absence de barèmes de prix planchers aurait pour effet d'empêcher la régulation de la sous-traitance, et que, d'autre part, la mise en place de tels barèmes pourrait avoir pour effet de fausser la concurrence en incitant les membres à s'aligner sur ces prix plutôt qu'à établir leurs propres tarifs en fonction des conditions du marché;</w:t>
      </w:r>
    </w:p>
    <w:p>
      <w:r>
        <w:t>Considérant que, par conséquent, l'application de l'article 10 de l'ordonnance du 1er décembre 1986 ne saurait être justifiée dans le cas présent;</w:t>
      </w:r>
    </w:p>
    <w:p>
      <w:r>
        <w:t>DECIDE:</w:t>
        <w:br/>
        <w:t>Article 1er: La société Déméco est déclarée coupable de pratiques anticoncurrentielles en violation de l'article 7 de l'ordonnance de 1986.</w:t>
        <w:br/>
        <w:t>Article 2: La chambre syndicale des entreprises de déménagement et garde-meuble de France n'est pas tenue responsable des pratiques de la société Déméco.</w:t>
        <w:br/>
        <w:t>Article 3: La société Déméco est condamnée à une amende de 1 000 000 F.</w:t>
        <w:br/>
        <w:t>Article 4: La présente décision sera notifiée à la société Déméco et à la chambre syndicale des entreprises de déménagement et garde-meuble de France.</w:t>
      </w:r>
    </w:p>
    <w:p>
      <w:r>
        <w:rPr>
          <w:b/>
        </w:rPr>
        <w:t>[Pages 7–8]</w:t>
      </w:r>
    </w:p>
    <w:p>
      <w:r>
        <w:t xml:space="preserve">that in the absence of such scales, the 'takers' would refuse to work as subcontractors for the 'givers' due to the risks of a poor assessment by the latter of the volume of furniture or the workload; that it also emphasizes 'the strengthening of the competitiveness of the companies' that the regulation it organizes would allow, which would thus contribute to economic progress, and that this economic progress would also benefit the clientele who would be offered the best value for money;  </w:t>
        <w:br/>
        <w:t xml:space="preserve">But considering that while the regulation itself may contribute to economic progress, it is not established that this is the direct consequence of the establishment, dissemination, and use of the price scales alone in question, nor that this practice has reserved for users a fair share of the profit that resulted for the shareholders of the company Déméco;  </w:t>
        <w:br/>
        <w:t xml:space="preserve">that moreover the current system allows the giver and the taker to negotiate directly the share of the final price reserved for each, in cases where this final price is below the corresponding floor price;  </w:t>
        <w:br/>
        <w:t xml:space="preserve">Considering that the company Déméco cannot effectively invoke the law of December 31, 1992 mentioned above, which does not apply to moves and which, moreover, only became applicable after the facts in question;  </w:t>
        <w:br/>
        <w:t xml:space="preserve">Considering that, therefore, the scales in question do not fall within the provisions of either 1 or 2 of Article 10 of the ordinance of December 1, 1986;  </w:t>
        <w:br/>
        <w:t xml:space="preserve">On the application of Article 13 of the ordinance of December 1, 1986:  </w:t>
        <w:br/>
        <w:t xml:space="preserve">Considering that under the terms of Article 13 of the aforementioned ordinance of December 1, 1986, applicable in this case since the facts that gave rise to the grievances retained above occurred and continued after its entry into force, 'the Competition Council (...) may impose a monetary sanction applicable either immediately or in the event of non-compliance with the injunctions. The monetary sanctions are proportionate to the severity of the alleged facts, to the extent of the damage caused to the economy, and to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w:t>
        <w:br/>
        <w:t xml:space="preserve">Considering that the severity of the practices denounced attributable to the company Déméco is characterized by the fact that the network of which it is the center is the largest and most representative, since it accounts for approximately 10% of the turnover of the relevant market and that all its members are statutorily members of the only professional organization in the sector: that the damage caused to the economy is assessed notably by the impact that the scales and rates established by the company Déméco could have on the prices of each of the members of the network and on their development, and thus on the intensity of the competition that Déméco members could have among themselves and with respect to companies outside the network and, consequently, considering the importance of the network, on price competition across the entire market;  </w:t>
        <w:br/>
        <w:t xml:space="preserve">Considering that the turnover achieved by the company Déméco amounted to 29.028 million francs in 1989, to 34.959 million in 1990, and to 29.406 million in 1991, the last known closed financial year;  </w:t>
        <w:br/>
        <w:t xml:space="preserve">Considering that it is appropriate to order the company Déméco to cease establishing and disseminating the illicit scales and rates and to refer to them and by imposing a monetary sanction proportionate to the severity of the alleged facts, to the extent of the damage caused to the economy, and to the situation of the company, as assessed above,  </w:t>
        <w:br/>
        <w:t xml:space="preserve">Decides:  </w:t>
        <w:br/>
        <w:t xml:space="preserve">Art. 1. - The company Déméco is ordered to cease establishing and disseminating: first, the prices of services performed by its member-shareholders on behalf of other members of the network; second, the floor prices of moves carried out within the framework of the regulation among its members; lastly, any reference to a floor price for the distribution between the giver and the taker of the price actually received by the client.  </w:t>
        <w:br/>
        <w:t xml:space="preserve">Art. 2. - A monetary sanction of 200,000 F is imposed on the company Déméco.  </w:t>
        <w:br/>
        <w:t xml:space="preserve">Art. 3. - The company Déméco shall have this decision inserted in the report prepared on the operations of the next financial year by its board of directors.  </w:t>
        <w:br/>
        <w:t xml:space="preserve">Adopted on the oral report of Mr. Jean-Claude Facchin by Messrs. Barbeau, president, Jenny, vice-president, and Cortesse,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