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https://www.autoritedelaconcurrence.fr/fr/decision-de-controle-des-concentrations/relative-cinq-operations-dans-le-secteur-immobilier-dans</w:t>
      </w:r>
    </w:p>
    <w:p>
      <w:r>
        <w:t>Pages translated : 9</w:t>
      </w:r>
    </w:p>
    <w:p/>
    <w:p>
      <w:r>
        <w:rPr>
          <w:b/>
        </w:rPr>
        <w:t>[Pages 1–3]</w:t>
      </w:r>
    </w:p>
    <w:p>
      <w:r>
        <w:t xml:space="preserve">FRENCH REPUBLIC  </w:t>
        <w:br/>
        <w:t xml:space="preserve">Decision No. 17-DCC-181 of November 6, 2017  </w:t>
        <w:br/>
        <w:t xml:space="preserve">regarding five operations in the real estate sector in the  </w:t>
        <w:br/>
        <w:t>overseas departments and regions</w:t>
      </w:r>
    </w:p>
    <w:p>
      <w:r>
        <w:t xml:space="preserve">The Competition Authority,  </w:t>
        <w:br/>
        <w:t xml:space="preserve">Having regard to the notification file submitted in full to the merger service on September 29, 2017, concerning the joint control of five overseas real estate companies by the Société nationale immobilière group and the French State, formalized by a letter of intent dated May 3, 2017, and a draft acquisition contract;  </w:t>
        <w:br/>
        <w:t xml:space="preserve">Having regard to Book IV of the Commercial Code relating to price freedom and competition, and in particular its Articles L. 430-1 to L. 430-7;  </w:t>
        <w:br/>
        <w:t xml:space="preserve">Having regard to the additional elements transmitted by the parties during the investigation;  </w:t>
        <w:br/>
        <w:t>Adopts the following decision:</w:t>
      </w:r>
    </w:p>
    <w:p>
      <w:r>
        <w:t xml:space="preserve">I. The companies concerned and the operation  </w:t>
        <w:br/>
        <w:t xml:space="preserve">A. THE COMPANIES CONCERNED  </w:t>
        <w:br/>
        <w:t xml:space="preserve">1. The French State holds the French Development Agency ("AFD"), a public establishment whose activity is to finance projects aimed at populations in developing countries, emerging countries, and overseas, in numerous sectors such as energy, health, biodiversity, water, digital technology, and training.  </w:t>
        <w:br/>
        <w:t xml:space="preserve">2. The Société Nationale Immobilière ("SNI") group is a 99.99% subsidiary of the Caisse des dépôts et consignations ("CDC") group. The SNI manages a rental offer of "public interest" (social or intermediate housing, rental, free or assisted, housing and residence, barracks), and home ownership, exclusively in mainland France. The CDC is a public establishment, governed by Articles L. 518-2 and following of the Monetary and Financial Code, which fulfills missions of public interest in support of public policies conducted by the State and local authorities (deposits on savings accounts that finance social rental housing and urban renewal, regulated deposits and consignments, pensions, and social security cash flow) and which carries out activities open to competition. These are grouped around four sectors: (i) personal insurance, (ii) real estate, (iii) services, and (iv) SME development and venture capital. Created by the law of April 28, 1816, the CDC is placed "under the supervision and guarantee of the legislative authority," this mode of governance being intended to ensure the autonomy of this institution which manages private funds requiring special protection.  </w:t>
        <w:br/>
        <w:t>3. The target companies are five overseas real estate companies ("SIDOM"): (i) the Real Estate Company of the Department of Reunion ("SIDR"), (ii) the Real Estate Company of Guadeloupe ("SIG"), (iii) the Real Estate Company of Martinique ("SIMAR"), (iv) the Real Estate Company of Guyana ("SIGUY"), and (v) the Real Estate Company of Mayotte ("SIM"). The SIDOM manage, each in a region and department of overseas ("DROM"), social rental housing and housing for ownership.</w:t>
      </w:r>
    </w:p>
    <w:p>
      <w:r>
        <w:t xml:space="preserve">B. THE OPERATION  </w:t>
        <w:br/>
        <w:t xml:space="preserve">4. On May 3, 2017, the SNI, the French State, the AFD, and the National Center for Space Studies ("CNES") concluded a letter of intent regarding the evolution of the capital of the SIDOM.  </w:t>
        <w:br/>
        <w:t xml:space="preserve">5. The shareholding of the SIDOM is currently distributed among the AFD, local authorities (regions, departments, and municipalities), and, according to the SIDOM, the CDC, private individuals, employee representatives, the Family Allowances Fund ("CAF"), and the Chamber of Trades and Crafts of Mayotte. There is no agreement among the shareholders of the SIDOM, so the analysis of their control structure must be carried out based on their statutes, which provide for the terms of their governance. For each SIDOM, the board of directors is the competent body to adopt all strategic decisions concerning the budget, business plan, appointment of senior management, or major investments.  </w:t>
        <w:br/>
        <w:t xml:space="preserve">6. Regarding the SIDR, SIG, and SIM, no shareholder is currently able to individually adopt or block the strategic decisions of their respective board of directors: the SIDR, SIG, and SIM are therefore not controlled, within the meaning of competition law.  </w:t>
        <w:br/>
        <w:t xml:space="preserve">7. Regarding the SIMAR and SIGUY, the French State is able to individually adopt or block the strategic decisions of their respective board of directors: the SIMAR and SIGUY are therefore controlled by the French State.  </w:t>
        <w:br/>
        <w:t xml:space="preserve">8. Under the terms of this letter of intent, the SNI must acquire [30-40]% of the capital and voting rights of the SIDOM. Following the operation, the distribution of the capital of the SIDOM will be as follows:  </w:t>
        <w:br/>
        <w:t xml:space="preserve">1 See Article L. 518-2 of the Monetary and Financial Code.  </w:t>
        <w:br/>
        <w:t>2 The CNES is only concerned by this protocol in relation to the change of control over the Real Estate Company of Kourou ("SIMKO"), an operation distinct from the notified operation in that its control is not acquired by the same companies (see point 65 of the guidelines of the Competition Authority regarding the control of concentrations). In this case, the joint control of the SIMKO by the French State, the SNI, and the CNES is not an operation that exceeds the control thresholds provided for in Article L. 430-2 of the Commercial Code.</w:t>
      </w:r>
    </w:p>
    <w:p>
      <w:r>
        <w:t xml:space="preserve">Shareholders SIDR SIG SIMAR SIGUY SIM  </w:t>
        <w:br/>
        <w:t xml:space="preserve">SNI [30-40]% [30-40]% [30-40]% [30-40]% [30-40]%  </w:t>
        <w:br/>
        <w:t xml:space="preserve">AFD [10-20]% [10-20]% [20-30]% [60-70]% [5-10]%  </w:t>
        <w:br/>
        <w:t xml:space="preserve">Region [0-5]% [0-5]%  </w:t>
        <w:br/>
        <w:t xml:space="preserve">Department [40-50]% [30-40]% [10-20]% [0-5]% [20-30]%  </w:t>
        <w:br/>
        <w:t xml:space="preserve">Municipalities [10-20]% [20-30]% [0-5]% [10-20]%  </w:t>
        <w:br/>
        <w:t xml:space="preserve">CDC [5-10]%  </w:t>
        <w:br/>
        <w:t xml:space="preserve">Private [0-5]% [10-20]%  </w:t>
        <w:br/>
        <w:t xml:space="preserve">Employee Representatives [0-5]%  </w:t>
        <w:br/>
        <w:t>CAF [0-5]% [0-5]%</w:t>
      </w:r>
    </w:p>
    <w:p>
      <w:r>
        <w:t xml:space="preserve">9. The draft shareholders' agreement provides that, for each SIDOM, the French State and the SNI must agree on the main strategic decisions mentioned above, so that these two shareholders will hold joint control over each of the SIDOM following the operation.  </w:t>
        <w:br/>
        <w:t xml:space="preserve">10. Thus, regardless of the qualification of prior control over the SIDOM (exclusive control of the French State, absence of control), the notified operation entails a change of control for each of them.  </w:t>
        <w:br/>
        <w:t xml:space="preserve">11. Furthermore, the SIDOM are full-function joint ventures in that they perform, and will continue to perform sustainably, all the functions of an autonomous economic entity. Indeed, the SIDOM are equipped with sufficient resources and means to operate independently in the sector of managing social rental housing and housing for ownership (own financial resources, dedicated personnel, adequate means, and own premises). The majority of their income comes from rents paid by tenants, and they freely choose their suppliers. Following the operation, the purchase-sale relationships between the SIDOM and their parent companies will be limited. The SIDOM also benefit from market access in that they are directly solicited by individuals eligible for social housing to whom they offer goods and services. Finally, they were created to operate sustainably.  </w:t>
        <w:br/>
        <w:t xml:space="preserve">12. These operations constitute a single concentration in that they are interdependent. Indeed, the proposed acquisition of the SIDOM is envisaged as a global and therefore indivisible operation, subject to a single acquisition contract.  </w:t>
        <w:br/>
        <w:t xml:space="preserve">3 The parties provided the draft shareholders' agreement for the SIMKO. They stated in the context of this notification that the paragraphs relating to "decisions that cannot be adopted by the board of directors or the general assembly of the Parties" will be replicated mutatis mutandis for the other SIDOM.  </w:t>
        <w:br/>
        <w:t xml:space="preserve">4 It is the French State and not the AFD that, after the operation, will participate in the joint control over each of the five SIDOM in that the shares held by the AFD are held in the name and on behalf of the State and that it is the State and not the AFD that will sit on the board of directors of each of these five SIDOM.  </w:t>
        <w:br/>
        <w:t xml:space="preserve">5 Points 63 and following of the guidelines of the Competition Authority regarding the control of concentrations.  </w:t>
        <w:br/>
        <w:t>5 Points 63 and following of the guidelines of the Competition Authority regarding the control of concentrations.</w:t>
      </w:r>
    </w:p>
    <w:p>
      <w:r>
        <w:rPr>
          <w:b/>
        </w:rPr>
        <w:t>[Pages 4–6]</w:t>
      </w:r>
    </w:p>
    <w:p>
      <w:r>
        <w:t>the latter provides that the sale of SIDOM shares to SNI is designed as an indivisible whole that must occur at the same time, subject to the satisfaction of the same suspensive conditions. The control of SIDOM is furthermore acquired by the same companies.</w:t>
      </w:r>
    </w:p>
    <w:p>
      <w:r>
        <w:t>13. In view of the foregoing, the notified operation constitutes a concentration within the meaning of Article L. 430-1 of the Commercial Code.</w:t>
      </w:r>
    </w:p>
    <w:p>
      <w:r>
        <w:t>14. The companies concerned together achieve a total worldwide turnover of more than 150 million euros (CDC: […] euros for the fiscal year ending December 31, 2016; SIDOM: […] euros for the same fiscal year). Each of these companies achieves a turnover in France exceeding 50 million euros (CDC: […] euros for the fiscal year ending December 31, 2016; SIDOM: […] euros for the same fiscal year). Given these turnover figures, the thresholds set out in Article 1, paragraph 2, a) and b) of Regulation (EC) No. 139/2004 of the Council of January 20, 2004 are met. Nevertheless, since the CDC and the SIDOMs generate more than two-thirds of their turnover in France, the operation is not of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r>
    </w:p>
    <w:p>
      <w:r>
        <w:t>A. SERVICE MARKETS</w:t>
      </w:r>
    </w:p>
    <w:p>
      <w:r>
        <w:t>15. National6 and European7 competition authorities have considered various segmentations in the real estate services sector according to (i) the recipients of the services (individuals or businesses), (ii) the pricing method (free residential real estate and social or assisted housing)8, (iii) the type of activity carried out in the premises (offices9, commercial premises, and other activity premises10), and (iv) the nature of the services or goods offered.</w:t>
      </w:r>
    </w:p>
    <w:p>
      <w:r>
        <w:t>16. Regarding segmentation according to the nature of the services or goods offered, the decision-making practice has considered, while leaving the question open, the distinction between:</w:t>
        <w:br/>
        <w:t>- real estate promotion which includes construction and sale activities of real estate;</w:t>
        <w:br/>
        <w:t>- management of real estate assets for one's own account;</w:t>
        <w:br/>
        <w:t>- management of real estate assets for third parties;</w:t>
        <w:br/>
        <w:t>- administration of real estate which covers the activities of managing properties on behalf of owners and can be segmented between rental management and co-ownership management;</w:t>
        <w:br/>
        <w:t>- real estate expertise;</w:t>
        <w:br/>
        <w:t>- real estate consulting;</w:t>
        <w:br/>
        <w:t>- intermediation in real estate transactions, within which a distinction can be made between the sale and rental of properties11.</w:t>
      </w:r>
    </w:p>
    <w:p>
      <w:r>
        <w:t>17. In this case, the SIDOMs are primarily active in the markets for the management for their own account of residential properties for social use and commercial real estate assets.</w:t>
      </w:r>
    </w:p>
    <w:p>
      <w:r>
        <w:t>B. GEOGRAPHICAL MARKETS</w:t>
      </w:r>
    </w:p>
    <w:p>
      <w:r>
        <w:t>18. According to the aforementioned decision-making practice, markets related to the real estate sector are generally of a local dimension, particularly considering the differences between regions and regional metropolitan areas in terms of prices and demand in real estate.</w:t>
      </w:r>
    </w:p>
    <w:p>
      <w:r>
        <w:t>19. For regions outside Île-de-France, competition authorities have conducted their competitive analyses at the regional or sub-regional level12. In its recent decisions, the Authority has examined the effects of operations at the level of urban areas13.</w:t>
      </w:r>
    </w:p>
    <w:p>
      <w:r>
        <w:t>20. The question of the exact delineation of the geographic markets concerned by the operation can, however, be left open insofar as it has no impact on the competitive analysis.</w:t>
      </w:r>
    </w:p>
    <w:p>
      <w:r>
        <w:t>III. Competitive Analysis</w:t>
      </w:r>
    </w:p>
    <w:p>
      <w:r>
        <w:t>21. The SIDOMs are significant players in the field of overseas social housing. With a portfolio of nearly 70,000 housing units, they represent major social landlords, alongside other operators in the markets where they are respectively active. Their purpose is to develop, manage, and improve housing in the DROM, particularly very social, social, and intermediate housing. This translates into the construction and management of social rental housing and homeownership housing, as well as the establishment of urban development operations.</w:t>
      </w:r>
    </w:p>
    <w:p>
      <w:r>
        <w:t>22. The SIDOMs also have marginal activities in managing commercial premises and activities in the DROM.</w:t>
      </w:r>
    </w:p>
    <w:p>
      <w:r>
        <w:t>23. Since SNI is exclusively active in metropolitan France, the overlaps of the operation are limited to the market activities of the CDC14.</w:t>
      </w:r>
    </w:p>
    <w:p>
      <w:r>
        <w:t>24. In this regard, the activities of the CDC in terms of credit to social landlords, which are certainly not market activities, are nevertheless likely to have vertical effects on the markets for the management of real estate assets for their own account (B)15 on which the operation also has limited horizontal effects (A).</w:t>
      </w:r>
    </w:p>
    <w:p>
      <w:r>
        <w:t>A. ANALYSIS OF HORIZONTAL EFFECTS</w:t>
      </w:r>
    </w:p>
    <w:p>
      <w:r>
        <w:t>1. MANAGEMENT FOR OWN ACCOUNT OF RESIDENTIAL PROPERTIES FOR SOCIAL USE</w:t>
      </w:r>
    </w:p>
    <w:p>
      <w:r>
        <w:t>25. In this case, the operation does not have the effect of generating horizontal effects in these markets insofar as the CDC does not manage any social housing in the DROM.</w:t>
      </w:r>
    </w:p>
    <w:p>
      <w:r>
        <w:rPr>
          <w:b/>
        </w:rPr>
        <w:t>[Pages 7–9]</w:t>
      </w:r>
    </w:p>
    <w:p>
      <w:r>
        <w:t>2. THE MANAGEMENT FOR ONE'S OWN ACCOUNT OF REAL ESTATE AS COMMERCIAL USE</w:t>
      </w:r>
    </w:p>
    <w:p>
      <w:r>
        <w:t>26. The SIDOMs have marginal activities in the management of commercial premises and activities in the DROM. The CDC is also active in these markets. However, the overlaps in activities between the SIDOMs and the CDC are less than [5-10]%, regardless of the territory and municipality concerned by these overlaps.</w:t>
      </w:r>
    </w:p>
    <w:p>
      <w:r>
        <w:t>27. Consequently, the operation is not likely to harm competition through horizontal effects in the markets for the management of real estate assets for commercial use.</w:t>
      </w:r>
    </w:p>
    <w:p>
      <w:r>
        <w:t>B. THE ANALYSIS OF VERTICAL EFFECTS</w:t>
      </w:r>
    </w:p>
    <w:p>
      <w:r>
        <w:t>1. THE FINANCING OF SOCIAL HOUSING</w:t>
      </w:r>
    </w:p>
    <w:p>
      <w:r>
        <w:t>28. The CDC is the primary financier of social housing in France, thanks to long-term loans granted to social landlords and made possible through the centralized resource of liquid savings products.</w:t>
      </w:r>
    </w:p>
    <w:p>
      <w:r>
        <w:t>29. However, the financing activity in the social housing sector is framed within a specific legislative context and has characteristics such that it is not regarded as a market activity.</w:t>
      </w:r>
    </w:p>
    <w:p>
      <w:r>
        <w:t>30. In this regard, the parties recall that the financing of social housing by the CDC is an activity carried out on behalf of the State and in accordance with the objectives set by the State. This mission arises from Article L. 221-5 of the Monetary and Financial Code, which entrusts the CDC with the centralization and management of a portion of the regulated savings deposits collected by financial institutions.</w:t>
      </w:r>
    </w:p>
    <w:p>
      <w:r>
        <w:t>31. The parties consider that, in their decision-making practice, competition authorities have recognized the specificity of financing social housing. Thus, in its decision regarding the special rights granted to three French banks for the distribution of "Livret A and blue," the European Commission qualified the financing of social housing as a service of general economic interest ("SGEI"), within the meaning of Article 106.2 of the Treaty on the Functioning of the European Union ("TFEU"). It also considered that the rules of competition law regarding state aid were not applicable to this activity in its decision concerning the national agency for the financing of social housing in Ireland ("Housing Finance Agency" or "HFA"). The Competition Council, in an opinion dated September 17, 1996, indicated that it did not have to "question the justification, in light of competition rules, of the financing system for social housing, which consists of granting exclusive rights for this mission to a single institution, the Caisse des dépôts et consignations."</w:t>
      </w:r>
    </w:p>
    <w:p>
      <w:r>
        <w:t>32. It follows from the above that the activity of financing social housing entrusted by the State to the CDC does not constitute a market activity and, as such, is not a market concerned by the notified operation.</w:t>
      </w:r>
    </w:p>
    <w:p>
      <w:r>
        <w:t>2. THE MANAGEMENT FOR ONE'S OWN ACCOUNT OF RESIDENTIAL PROPERTIES FOR SOCIAL USE</w:t>
      </w:r>
    </w:p>
    <w:p>
      <w:r>
        <w:t>33. However, insofar as the activity of financing social housing is situated upstream of a competitive market, it is necessary to analyze the risks arising from the CDC's control of the SIDOMs downstream, in the markets for the management for one's own account of residential properties for social use.</w:t>
      </w:r>
    </w:p>
    <w:p>
      <w:r>
        <w:t>34. A vertical concentration can restrict competition by making access to the markets on which the new entity will be active more difficult, or even potentially excluding competitors or penalizing them by increasing their costs. In this case, such locking can only target downstream markets when the integrated company refuses to sell an input to its downstream competitors. In this instance, the CDC could therefore refuse to finance the social housing landlords competing with the SIDOMs, or make it more difficult for them to access credit. Decision-making practice generally considers that a risk of vertical or conglomerate effect can be ruled out as long as the market share of the company resulting from the operation in the concerned markets does not exceed 30%.</w:t>
      </w:r>
    </w:p>
    <w:p>
      <w:r>
        <w:t>35. However, in this case, the SIDOMs hold significant positions in these markets as they hold between [30-40]% and [50-60]% of the social rental stock in each DROM.</w:t>
      </w:r>
    </w:p>
    <w:p>
      <w:r>
        <w:t>36. Nevertheless, the risk of excluding the SIDOM's competitors in the local markets for the management for one's own account of residential properties for social use can be excluded.</w:t>
      </w:r>
    </w:p>
    <w:p>
      <w:r>
        <w:t>37. Indeed, the CDC grants social landlords loans whose guiding principles are framed by regulatory provisions of the Construction and Housing Code ("CCH"). These loans are offered to landlords under identical financial conditions throughout the territory and without discrimination between borrowers.</w:t>
      </w:r>
    </w:p>
    <w:p>
      <w:r>
        <w:t>38. The conditions for granting loans are non-discriminatory in that any social landlord who meets the objective and transparent approval conditions set by the legislator is eligible for these regulated loans. According to Articles R. 331-3 to R. 331-6 and R. 331-19 of the CCH, borrowers must obtain approval from the State in order to request and obtain loans granted to social landlords by the CDC. Indeed, this approval obtained from the State (and not from the CDC) gives borrowers the right to request financing for social rental loans ("PLUS") or assisted integration rental loans ("PLAI") from the CDC and financing for social rental loans ("PLS") or intermediate rental loans ("PLI") from the CDC or a credit institution that has signed a refinancing agreement. Since the CDC does not issue this approval, it cannot favor one social landlord over another.</w:t>
      </w:r>
    </w:p>
    <w:p>
      <w:r>
        <w:t>39. Regarding the conditions of these loans (and their rates in particular), the CDC is required to grant long-term loans under identical conditions throughout the territory. The rates of the loans are notably indexed to the rate of the resource from which they are financed, in order to achieve alignment between the revenues from these loans and the cost of the resource used. The conditions of the loans are thus subject to numerous regulatory provisions and circulars issued by the regulatory authority that ensure that, in granting loans from Savings Funds, the CDC does not discriminate between borrowers and that they are treated equally, regardless of their geographical situation or quality.</w:t>
      </w:r>
    </w:p>
    <w:p>
      <w:r>
        <w:t>40. In light of the above, the operation is not likely to harm competition through vertical effects in the markets for the management for one's own account of residential properties for social use in the DROM.</w:t>
      </w:r>
    </w:p>
    <w:p>
      <w:r>
        <w:t>DECIDES</w:t>
      </w:r>
    </w:p>
    <w:p>
      <w:r>
        <w:t>Sole Article: The operation notified under number 17-141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