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https://www.autoritedelaconcurrence.fr/fr/decision/relative-des-consignes-syndicales-de-depassement-des-tarifs-conventionnels-par-les</w:t>
      </w:r>
    </w:p>
    <w:p>
      <w:r>
        <w:t>Pages translated : 42</w:t>
      </w:r>
    </w:p>
    <w:p/>
    <w:p>
      <w:r>
        <w:rPr>
          <w:b/>
        </w:rPr>
        <w:t>[Pages 1–3]</w:t>
      </w:r>
    </w:p>
    <w:p>
      <w:r>
        <w:t>FRENCH REPUBLIC</w:t>
        <w:br/>
        <w:t>Decision No. 08-D-06 of April 2, 2008</w:t>
        <w:br/>
        <w:t>regarding union instructions for exceeding conventional rates</w:t>
        <w:br/>
        <w:t>by sector I specialist physicians</w:t>
        <w:br/>
        <w:t>The Competition Council (section I),</w:t>
        <w:br/>
        <w:t>Having regard to the letter registered on May 20, 2003 under number 03/0038 F, by which the national federation "Rural Families" referred to the Competition Council practices of exceeding conventional rates by specialist physicians;</w:t>
        <w:br/>
        <w:t>Having regard to the decision of the president of the Competition Council of October 29, 2007, stating that the matter would be subject to a decision of the Council without prior establishment of a report;</w:t>
        <w:br/>
        <w:t>Having regard to the business secrecy decision No. 07-DSA-207 of October 10, 2007;</w:t>
        <w:br/>
        <w:t>Having regard to Book IV of the Commercial Code;</w:t>
        <w:br/>
        <w:t>Having regard to the observations presented by the Union of Confederal Specialist Physicians, the Confederation of French Medical Unions, the Federation of Physicians of France, the Union of Liberal Physicians, the Union of Obstetrician-Gynecologists of France, the National Union of Private Psychiatrists, the National Union of French Pediatricians, the National Confederation of Liberal Physicians' Associations, and by the Government Commissioner;</w:t>
        <w:br/>
        <w:t>Having regard to the other documents in the file;</w:t>
        <w:br/>
        <w:t>The rapporteur, the deputy general rapporteur, the Government Commissioner, the representatives of the Union of Confederal Specialist Physicians, the Confederation of French Medical Unions, the Federation of Physicians of France, the Union of Liberal Physicians, the Union of Obstetrician-Gynecologists of France, the National Union of Private Psychiatrists, the National Union of French Pediatricians, and the National Confederation of Liberal Physicians' Associations heard during the session of February 5, 2008; the National Federation "Rural Families" having been regularly convened;</w:t>
        <w:br/>
        <w:t>Adopts the following decision:</w:t>
      </w:r>
    </w:p>
    <w:p>
      <w:r>
        <w:t>I. Findings</w:t>
        <w:br/>
        <w:t>A. THE SECTOR</w:t>
        <w:br/>
        <w:t>1. THE LEGAL RULES FOR SETTING FEES FOR LIBERAL SPECIALIST PHYSICIANS' ACTIVITIES</w:t>
        <w:br/>
        <w:t>1. The relationships between physicians and health insurance organizations are normally governed by agreements concluded by the National Union of Health Insurance Funds and by representative trade union organizations for the entire territory of general practitioners and specialist physicians (Article L. 162-5 of the Social Security Code).</w:t>
        <w:br/>
        <w:t>2. However, Article L. 162-5-9 of this code, in its version in force at the time of the facts, provided that in the absence of an agreement, a "minimum conventional regulation" (RCM), established by interministerial order, after consultation with the national health insurance fund for salaried workers as well as with representative trade union organizations of general practitioners and specialists, set the fees, remuneration, and ancillary costs owed to physicians by insured persons, outside of cases of authorized overruns.</w:t>
        <w:br/>
        <w:t>3. As the specialist physicians and health insurance organizations did not reach an agreement on a new convention, an RCM was adopted by order of November 13, 1998 (Official Journal of November 14, 1998).</w:t>
        <w:br/>
        <w:t>4. This regulation provides in its Article 11 that the acts for which health insurance covers the cost, in whole or in part, are those listed in the general nomenclature of professional acts ("NGAP"). Coverage is generally carried out by reimbursement to the patient, based on conventional rates, provided that the practitioner is contracted and certifies that the acts have been provided and billed.</w:t>
        <w:br/>
        <w:t>5. Article 12 of the same regulation states that contracted physicians apply the rates it provides. However, it authorizes them to apply, "with tact and measure," different rates in the following cases:</w:t>
        <w:br/>
        <w:t>"a) overruns for exceptional circumstances of time and place due to a particular requirement of the patient (DE). In this case, the practitioner informs the patient of the amount of the overrun not reimbursed by the funds and explains the reason for the overrun. The DE indication is noted on the treatment sheet. The overrun can only apply to the main act performed by the practitioner and not to ancillary costs;</w:t>
        <w:br/>
        <w:t>b) application of a permanent right to overrun (DP) for physicians who were beneficiaries [at the date of entry into force of the RCM];</w:t>
        <w:br/>
        <w:t>c) application of different fees for physicians authorized to practice them [at the date of entry into force of the RCM].</w:t>
        <w:br/>
        <w:t>2</w:t>
      </w:r>
    </w:p>
    <w:p>
      <w:r>
        <w:t>Physicians who [at the date of entry into force of the RCM], are establishing themselves for the first time in liberal practice or who established themselves for the first time between June 7, 1980, and December 1, 1989, and hold [certain titles] may opt for the sector with different fees. The option is formulated by the physician upon joining [the RCM, which must occur within one month following notification of it by the health insurance funds to physicians practicing wholly or partly in a liberal manner]."</w:t>
        <w:br/>
        <w:t>6. The contracted physicians referred to in cases a) and b) are said to be "sector I." These physicians benefit from specific coverage of their social contributions by the social security funds. The category referred to in b), which benefits from the right to permanent overruns, is no longer renewed. The contracted physicians referred to in case c) are said to be "sector II." They are subject to a less favorable social contribution regime than those in sector I.</w:t>
        <w:br/>
        <w:t>7. When these categories of physicians practice overruns compared to the rates provided by the RCM, insured persons are reimbursed by their social security fund only based on said rates. The Council of State has ruled that the "tact and measure" that contracted physicians must demonstrate when practicing rate overruns are assessed in relation to the financial situation of the patient, the particular circumstances, and the reputation of the practitioner (February 18, 1977, Rec. p. 98.).</w:t>
        <w:br/>
        <w:t>8. Finally, non-contracted physicians are said to be "sector III." To practice in this sector, a previously contracted physician must deregister. Practitioners operating in sector III are entirely free in their fees but do not benefit from any social advantages, and their patients are reimbursed based on an "authority rate," significantly lower than the conventional rate.</w:t>
        <w:br/>
        <w:t>2. THE TRADE UNIONS OF LIBERAL SPECIALIST PHYSICIANS</w:t>
        <w:br/>
        <w:t>9. There are two types of trade unions for liberal specialist physicians: the so-called "vertical" unions and the "multi-category" unions. The former represent the interests of a single category of specialists, while the latter generally group together different "vertical" unions. The main multi-category unions are the Confederation of French Medical Unions (CSMF), the Federation of Physicians of France (FMF), and the Union of Liberal Physicians (SML). The "vertical" unions generally affiliate with several multi-category unions.</w:t>
        <w:br/>
        <w:t>10. The CSMF brings together nearly one hundred departmental unions and about thirty vertical unions. It is divided into two national unions: the National Union of General Practitioners of France (UNOF), which represents the interests of general practitioners, and the National Union of Confederal Specialist Physicians (UMESPE), which groups unions from different specialties.</w:t>
        <w:br/>
        <w:t>11. At the time of the facts examined, the president of UMESPE was a member of the CSMF bureau, but UMESPE maintained its autonomy in union action.</w:t>
        <w:br/>
        <w:t>12. The FMF consists of the Federation of Specialist Physicians of France (FMF-S) and the Federation of General Practitioners of France (FMF-G).</w:t>
        <w:br/>
        <w:t>13. The SML is composed of departmental unions and vertical unions. It does not have structures representing general practitioners and specialists separately.</w:t>
      </w:r>
    </w:p>
    <w:p>
      <w:r>
        <w:rPr>
          <w:b/>
        </w:rPr>
        <w:t>[Pages 4–6]</w:t>
      </w:r>
    </w:p>
    <w:p>
      <w:r>
        <w:t>14. The CSMF, the FMF, and the SML are recognized as representative for negotiating a medical convention or giving an opinion on a draft RCM. They meet the criteria of membership, collected contributions, independence, experience, audience, and seniority required for this purpose.</w:t>
      </w:r>
    </w:p>
    <w:p>
      <w:r>
        <w:t>15. The vertical unions concerned by this case are as follows:</w:t>
        <w:br/>
        <w:t>− The SYNGOF, represented at the CSMF, FMF, and SML. Like all vertical unions, it is not considered representative, so it does not have direct access to conventional negotiations, which leads it to be a member of one or more multi-category unions in order to assert its viewpoint;</w:t>
        <w:br/>
        <w:t>− The SNPP, affiliated solely with the CSMF until 2003;</w:t>
        <w:br/>
        <w:t>− The SNPF: its president indicated that the SNPP "(...) was represented on the steering committee (of UMESPE) where [I] sat during the events. The SNPF also had representation with the SML and the FMF."</w:t>
      </w:r>
    </w:p>
    <w:p>
      <w:r>
        <w:t>16. Certain departmental and regional coordinations and associations federated, at the end of 2002, within the National Conference of Liberal Physicians' Associations (CNAMLib) in order to be collectively recognized as interlocutors by the Government and social insurance bodies. Some of them were already linked to vertical or multi-category unions. Furthermore, new associations and coordinations were also formed at the time of the events because a number of doctors found the policies of existing unions unsatisfactory.</w:t>
      </w:r>
    </w:p>
    <w:p>
      <w:r>
        <w:t>B. THE REFERRAL</w:t>
        <w:br/>
        <w:t>17. The national federation of rural families (hereinafter "Familles rurales") referred the Competition Council on May 19, 2003, indicating that consumers and several of its member federations had reported that sector I specialist doctors systematically used the exceptional fee overrun (hereinafter DE) in order to exempt themselves from the tariff regulation specific to this sector. The referring party also indicated that conventional tariff overruns were carried out by practitioners wishing to access sector II unconditionally, a sector in which fees are, in principle, free but reimbursed based on the conventional tariff.</w:t>
      </w:r>
    </w:p>
    <w:p>
      <w:r>
        <w:t>18. These practices, according to various documents gathered by "Familles rurales," resulted from directives from the unions or associations of doctors. The referring association argues that they have been particularly penalizing in rural areas where the density of specialists is low. According to the complainant, they have not only resulted in additional costs for patients not covered by health insurance funds and mutuals, but have also constituted a challenge to the social protection system, particularly due to the non-respect of the principles of consultation, transparency, and accountability of all stakeholders that should characterize its functioning.</w:t>
      </w:r>
    </w:p>
    <w:p>
      <w:r>
        <w:t>C. ESTABLISHED FACTS</w:t>
        <w:br/>
        <w:t>1. THE REASON FOR THE DIRECTIVES OF VERTICAL, MULTI-CATEGORY UNIONS AND CNAMLib</w:t>
        <w:br/>
        <w:t>19. At the beginning of the 2000s, the various representative unions negotiated with health insurance bodies in order to conclude a new medical convention. The parties encountered difficulties in reaching an agreement on the revaluation of the conventional tariff, which was then, following the transition from the franc to the euro, 22.87 euros (150 francs). The unions requested that the consultation be revalued to 30 euros, emphasizing that it had not been increased for seven years, a period during which professional expenses had significantly increased.</w:t>
      </w:r>
    </w:p>
    <w:p>
      <w:r>
        <w:t>20. From 2004, the actions of SYNGOF were motivated, more particularly, by the significant increase in professional insurance premiums due to jurisprudential developments regarding the medical liability of gynecologists-obstetricians.</w:t>
      </w:r>
    </w:p>
    <w:p>
      <w:r>
        <w:t>21. Based on these reasons, from October 2001 until February 2005, the date on which a new medical convention was signed, unions of liberal specialist doctors operating in sector I called on their members to widely use the DE, even systematically in certain circumstances, or to effectively transition to sector II or sector III.</w:t>
      </w:r>
    </w:p>
    <w:p>
      <w:r>
        <w:t>2. THE CALL OF CERTAIN UNIONS TO WIDELY OR SYSTEMATICALLY USE THE DE IN CERTAIN CIRCUMSTANCES</w:t>
        <w:br/>
        <w:t>UMESPE</w:t>
        <w:br/>
        <w:t>22. UMESPE was the originator of the movement aimed at widely using the DE. A document on its website stated: "The protest of specialist doctors was initiated by UMESPE in October 2001. (...) Our directives were simple, based as today on the broadest use of the DE illustrated by a user guide on the UMESPE website. (...) We also participated in all the directives launched by the CSMF and the SML, two days without doctors during the spring of 2002. (...) This is why [insufficient revaluation] we maintained our directives for the broadest use of the DE. (...) There has been no change in our union approach over the past few months and there is no reason that the upcoming opening of conventional negotiations, which will be spread over 6 months, should lead us to suspend this movement."</w:t>
      </w:r>
    </w:p>
    <w:p>
      <w:r>
        <w:t>23. UMESPE believes that its directive was legitimate. Its president stated: "The DE is a right that exists but is little used. It allows for compensation for certain costs related to specific patient requirements. The increase in social charges and the freeze on fees since 1995 now necessitate the use of this right by sector I doctors." He also indicated: "At the time of the events, the DE was hardly used by specialists. That is why we asked our members to apply it widely." He clarified during the investigation that the directive had been adopted autonomously, even though it had been the subject of consultation with the CSMF.</w:t>
      </w:r>
    </w:p>
    <w:p>
      <w:r>
        <w:t>24. UMESPE considers it appropriate to systematically apply the DE to the following six situations, which were enumerated by the president of UMESPE Lorraine, vice-president of UMESPE, in a letter addressed to the director of a primary fund on February 17, 2003:</w:t>
        <w:br/>
        <w:t>"1/ Appointment scheduling: today, given the demographics of specialist doctors, the average waiting time for an initial appointment varies between one and a half and four months. From the moment that, for whatever reason, the waiting time for an appointment is shorter, we are in a situation of particular demand and the application of the DE is entirely legitimate.</w:t>
        <w:br/>
        <w:t>2/ The specialist's activity has led to a regular follow-up corresponding to an average delay of six months. If, for whatever medical reason, the follow-up is shorter, we are also in a DE situation. Indeed, to meet the patient's demand, the specialist doctor is obliged to mobilize time, organize his office, thus incurring a cost. The DE corresponds to the cost represented by these particular demands.</w:t>
        <w:br/>
        <w:t>3/ The entire population, which includes specialist doctors, has a concern regarding quality of life. Under these conditions, any appointment made outside the opening hours of dispensaries (8:30 am to 12 pm and 2 pm to 5 pm) meets a particular demand. Social legislation on working time arrangements, on the cost of overtime, and on the limitation of overtime means that time slots wider than the defined working time above lead to higher social charges at the level of office organization. The DE is therefore legitimate.</w:t>
        <w:br/>
        <w:t>4/ It may happen that the patient wishes several certificates to meet insurance, administrative, or other obligations. It is evident that this situation requires a higher workload at the secretarial level, and the DE is legitimate.</w:t>
        <w:br/>
        <w:t>5/ The minimum conventional regulation requires the specialist doctor to provide teletransmission. The presentation of the SESAM-VITALE card to the specialist corresponds to a particular demand, and therefore the teletransmission work that the office is obliged to produce incurs a cost and legitimately leads to a DE.</w:t>
        <w:br/>
        <w:t>6/ A number of technical procedures can be performed by other health professionals than the doctor, and in these cases, we also notice that the applicable tariff is lower for the doctor. This choice of the patient corresponds to a particular demand and justifies a DE legitimately."</w:t>
      </w:r>
    </w:p>
    <w:p>
      <w:r>
        <w:t>25. UMESPE also invited its members to apply the DE for consultations and technical and surgical procedures provided beyond the time slots shown in the following table, which corresponds in principle to a workload of 35 hours per week, of which 25 are dedicated to patients.</w:t>
      </w:r>
    </w:p>
    <w:p>
      <w:r>
        <w:rPr>
          <w:b/>
        </w:rPr>
        <w:t>[Pages 7–9]</w:t>
      </w:r>
    </w:p>
    <w:p>
      <w:r>
        <w:t>was sent in December 2001, that "the DE should be applied to all acts, consultations, childbirths, ultrasounds, performed outside normal working hours, that is to say, 35 hours of work per week, to be displayed in your waiting rooms and given to your patients."</w:t>
      </w:r>
    </w:p>
    <w:p>
      <w:r>
        <w:t>41. The SYNGOF also emphasized the importance of informing patients about the application of the DE and the conditions under which it would be applied. In a communication dated January 2002, it stated: "It is essential to communicate clearly with your patients about the DE, ensuring they understand the reasons for its application and the benefits it may provide in terms of time and attention during consultations."</w:t>
      </w:r>
    </w:p>
    <w:p>
      <w:r>
        <w:t>42. Furthermore, the SYNGOF encouraged its members to adopt a unified approach in applying the DE, suggesting that they coordinate their practices to avoid discrepancies that could lead to misunderstandings among patients and potential legal issues.</w:t>
      </w:r>
    </w:p>
    <w:p>
      <w:r>
        <w:t>43. In summary, the SYNGOF's position was to advocate for the widespread application of the DE while ensuring compliance with legal and ethical standards, thereby aiming to improve the overall working conditions for gynecologists and obstetricians in France.</w:t>
      </w:r>
    </w:p>
    <w:p>
      <w:r>
        <w:rPr>
          <w:b/>
        </w:rPr>
        <w:t>[Pages 10–12]</w:t>
      </w:r>
    </w:p>
    <w:p>
      <w:r>
        <w:t>sector II was due to the CNAMLib's efforts to promote and secure this transition legally and publicly.</w:t>
      </w:r>
    </w:p>
    <w:p>
      <w:r>
        <w:t>60. The CNAMLib emphasized that the transition to sector II should be done with caution and in accordance with the legal framework, ensuring that all necessary steps were taken to protect the interests of the physicians involved.</w:t>
      </w:r>
    </w:p>
    <w:p>
      <w:r>
        <w:t>61. In conclusion, the CNAMLib's actions and communications regarding the transition to sector II were aimed at providing a viable alternative for liberal practitioners while maintaining the quality of care and adhering to legal obligations.</w:t>
      </w:r>
    </w:p>
    <w:p>
      <w:r>
        <w:rPr>
          <w:b/>
        </w:rPr>
        <w:t>[Pages 13–15]</w:t>
      </w:r>
    </w:p>
    <w:p>
      <w:r>
        <w:t>legal context et que cette intervention peut avoir pour effet d'influencer le comportement des acteurs économiques sur le marché.</w:t>
      </w:r>
    </w:p>
    <w:p>
      <w:r>
        <w:t>68. En conséquence, le Conseil de la concurrence est compétent pour examiner les comportements en cause au regard des règles de concurrence, même si les organisations concernées soutiennent qu'elles n'agissent pas en tant qu'entreprises mais en tant que participants à un processus de régulation des dépenses de santé.</w:t>
      </w:r>
    </w:p>
    <w:p>
      <w:r>
        <w:t>69. Il convient également de noter que les actions concertées, même si elles sont motivées par des préoccupations professionnelles ou de régulation, peuvent toujours tomber sous le coup des dispositions de l'article L. 420-1 du Code de commerce si elles ont pour effet d'entraver la concurrence sur le marché.</w:t>
      </w:r>
    </w:p>
    <w:p>
      <w:r>
        <w:t>70. Par conséquent, les griefs notifiés par le rapporteur sont fondés et le Conseil de la concurrence doit poursuivre l'examen des comportements en cause pour déterminer s'ils constituent une violation des règles de concurrence.</w:t>
      </w:r>
    </w:p>
    <w:p>
      <w:r>
        <w:rPr>
          <w:b/>
        </w:rPr>
        <w:t>[Pages 16–18]</w:t>
      </w:r>
    </w:p>
    <w:p>
      <w:r>
        <w:t>service activity falling within the scope of Article L. 410-1 of the Commercial Code." In this case, UMESPE engaged in an interpretation of Article 12 of the RCM with the aim of encouraging specialist doctors to widely or systematically use the right to exceptional fee overruns in certain circumstances. Therefore, the instructions to raise fees through the use of the exceptional fee overrun, as provided by UMESPE, are indeed likely to fall under the prohibition set out in Article L. 420-1 of the Commercial Code.</w:t>
      </w:r>
    </w:p>
    <w:p>
      <w:r>
        <w:t>68. The situation under examination is, moreover, different from the one that led to decision no. 06-D-21 of the Competition Council. In that decision, the Council did not consider a position taken by the BNIC regarding the quantities normally vinified, within the framework of preparatory discussions for the decision of the competent ministers, who are the sole decision-makers regarding the administrative measures to be taken. In the present case, the unions involved did not limit themselves to informing health insurance and public authorities of their position on the level of the conventional tariff they deemed appropriate, but they provided behavioral instructions on the market to their direct or indirect members.</w:t>
      </w:r>
    </w:p>
    <w:p>
      <w:r>
        <w:t>69. CSMF, SNPF, and SYNGOF argue that there could be no anti-competitive agreement due to the administered nature of the concerned markets.</w:t>
      </w:r>
    </w:p>
    <w:p>
      <w:r>
        <w:t>70. The practices retained in the notification of grievances concern the services of consultations, technical acts, and surgical acts of various liberal sector I specialist doctors. This limitation to sector I does not exclude that this sector may constitute only a segment of a broader market formed by sectors I and II, or even sector III of non-conventioned doctors. It cannot be excluded, indeed, that the patient's choice proceeds in two stages: first the sector, taking into account the differences in prices remaining at their expense, and then the choice of the doctor within the selected sector. However, due to the specific and personal relationship that binds the patient to their doctor, the final choice of doctor is stable: it is "costly" to change doctors because this change involves reconstructing the useful information for the doctor regarding the patient's history and rebuilding the mutual trust relationship that unites them.</w:t>
      </w:r>
    </w:p>
    <w:p>
      <w:r>
        <w:t>71. Regarding the sector I concerned in this case, price competition is a priori very limited since practitioners must apply the conventional tariffs. Full price competition among doctors is not restored by the possibility of applying the DE. Indeed, the exceptional overruns of these tariffs provided for by Article 12 of the RCM are limited to cases "of exceptional circumstances of time and place due to a particular requirement of the patient." Being linked to the patient and the "exceptional circumstances" of their request, and not to the doctor's offer of care, this overrun, when it occurs, does not lead to competition among doctors since it only concerns the singular act of one doctor towards a patient and is justified only by the "exceptional circumstances" specific to the patient's request during the execution of a particular act. The effectively exceptional nature of the overrun is illustrated by its low overall amount, at least before the implementation of the practices in question: approximately 1.5% of fees. Ultimately, price competition within sector I seems to be limited to the behavior of patients who would make their stable choice of a doctor in this sector while anticipating the potential overrun that this doctor would be entitled to request if they found themselves in "exceptional" circumstances.</w:t>
      </w:r>
    </w:p>
    <w:p>
      <w:r>
        <w:t>72. Nevertheless, as in any service sector where prices are regulated, true competition occurs among providers through the quality of the service rendered: reputation, availability, relational quality, as well as accessibility and the arrangement of premises and, where applicable, equipment come into play and characterize the quality of each doctor's care offer. It is based on this quality and the overall satisfaction derived from it that the patient compares doctors in sector I and chooses their doctor, without price considerations entering into this choice since this price is conventionally fixed and unique, except for the potential exceptional overrun, regardless of the doctor.</w:t>
      </w:r>
    </w:p>
    <w:p>
      <w:r>
        <w:t>73. Therefore, the argument that there could be no anti-competitive agreement due to the administered nature of these markets cannot be accepted. When they apply the conventional tariffs in compliance with the operational rules of health insurance in this matter, rules which "(...) replace within their scope the provisions regarding prices of the ordinance of December 1, 1986, relating to price freedom and competition" (formula used in the ruling of the Conseil d'État of June 12, 1992, Lacombe et al., no. 103794, Rec. p. 230, invoked by SYNGOF), the doctors of sector I do not act as free economic agents in setting their prices. However, they remain subject to competition rules regarding all other aspects of their behavior in the market.</w:t>
      </w:r>
    </w:p>
    <w:p>
      <w:r>
        <w:t>74. No contrary conclusion can be drawn from the decision of the Competition Council no. 07-D-41 of November 28, 2007, regarding practices opposing the freedom of prices of services offered to health establishments during calls for tenders concerning anatomical-cytopathological examinations, invoked by certain parties. When the Council, after distinguishing different situations in which medical services can be performed, indicates "in all these cases, the application of Article L. 162-38 of the Social Security Code replaces that of Article L. 410-2 of the Commercial Code and the price regime is not free" (point 118), it refers precisely to cases in which care providers apply tariffs defined by the public authority or conventional tariffs, but not to other situations, such as when the DE is used "broadly."</w:t>
      </w:r>
    </w:p>
    <w:p>
      <w:r>
        <w:t>2. ON THE GROUND THAT THE HEALTH INSURANCE FUNDS WOULD BE THE ONLY ONES COMPETENT TO SANCTION THE PRACTICES IMPLEMENTED</w:t>
      </w:r>
    </w:p>
    <w:p>
      <w:r>
        <w:t>75. UMESPE considers that the Competition Council is not competent to determine whether the conditions for the DE were satisfied or not. Indeed, only the health insurance funds would be authorized to impose potential administrative sanctions on liberal doctors.</w:t>
      </w:r>
    </w:p>
    <w:p>
      <w:r>
        <w:t>76. However, the question examined by the Competition Council is not whether the legal conditions for resorting to the DE were satisfied on a case-by-case basis, which indeed falls under the health insurance funds, under the control of the judge. It is to determine whether union instructions to resort to the DE mechanism to obtain tariff increases replacing the mechanism of the minimum conventional settlement (RCM) applicable in the absence of a convention constitute a concerted anti-competitive action prohibited by Article L. 420-1 of the Commercial Code. The question of whether the application of the right to exceed on a case-by-case basis is legal in light of the rules governing the relationships between health insurance and conventioned doctors has no bearing on this potential qualification under competition rules.</w:t>
      </w:r>
    </w:p>
    <w:p>
      <w:r>
        <w:t>3. ON THE GROUND OF THE APPLICATION OF ARTICLE L. 420-4 OF THE COMMERCIAL CODE</w:t>
      </w:r>
    </w:p>
    <w:p>
      <w:r>
        <w:t>77. FMF, SML, UMESPE, and SNPP argue that since the existence of the DE is provided for by Article 12 of the RCM and that the sanctions taken in case of violation of the system are governed by the provisions of the Social Security Code, Article L. 420-4 of the Commercial Code applies. This article states in particular, "The provisions of Articles L. 420-1 and L. 420-2 do not apply to practices: (...) resulting from the application of a legislative text or a regulatory text taken for its application."</w:t>
      </w:r>
    </w:p>
    <w:p>
      <w:r>
        <w:t>78. However, while Article 12 of the RCM opens the possibility for doctors to resort to the DE on an individual basis in particular circumstances, neither this article, nor the Social Security Code, nor any other legislative or regulatory text provides that the doctors' unions are responsible for disseminating instructions aimed at modifying, through the use of the DE, the level of tariffs provided by the minimum conventional settlement. The behavior attributed to the implicated unions not being the direct consequence of the law, the application of the invoked provision must therefore be set aside.</w:t>
      </w:r>
    </w:p>
    <w:p>
      <w:r>
        <w:t>79. It follows from the above that the Competition Council is indeed competent regarding the practices subject to grievances, and that these practices do not escape the rules set out in Article L. 420-1 of the Commercial Code.</w:t>
      </w:r>
    </w:p>
    <w:p>
      <w:r>
        <w:t>B. ON THE POSSIBILITY FOR THE COUNCIL TO RULE ON ALL THE GRIEVANCES</w:t>
      </w:r>
    </w:p>
    <w:p>
      <w:r>
        <w:t>80. CNAMLib states that the Competition Council cannot examine the grievance against it regarding its encouragement addressed to doctors to move to sector II or to uncontract, as the facts in question are subsequent to the referral of "Familles rurales" made on May 19, 2003, without constituting a continuation of the facts prior to this. It puts forward the principle that, while the Council is seized in rem of all the facts and practices submitted to it without being bound by the requests of the referring parties, it cannot, based on a referral, examine facts that are subsequent to it and that do not constitute a continuation of the facts that were denounced therein. This principle is indeed followed by the Council, as detailed in its annual report for 2004 (pp. 179 and 180).</w:t>
      </w:r>
    </w:p>
    <w:p>
      <w:r>
        <w:t>81. More specifically, the implicated confederation argues that the practices targeted by "Familles rurales" in its complaint concerned directives addressed by unions and coordinations of liberal specialist doctors to practitioners in sector I to broadly apply the DE. The grievances retained against the other parties involved are based, according to it, on such practices. The one attributed to CNAMLib would differ in several ways:</w:t>
        <w:br/>
        <w:t>- CNAMLib would not have encouraged the broad application of the DE but rather to effectively move to sector II or to uncontract;</w:t>
        <w:br/>
        <w:t>- the statements by which it called for these actions (February 15, 2004, and May 8, 2004) are subsequent to the referral;</w:t>
      </w:r>
    </w:p>
    <w:p>
      <w:r>
        <w:rPr>
          <w:b/>
        </w:rPr>
        <w:t>[Pages 19–21]</w:t>
      </w:r>
    </w:p>
    <w:p>
      <w:r>
        <w:t>- these directives would not have been part of the continuity of the exceptional fee overrun practice that it deemed illegal and that it would never have encouraged.</w:t>
      </w:r>
    </w:p>
    <w:p>
      <w:r>
        <w:t>82. Upon examination of the file, it appears that it was only after the referral of "Familles rurales" that CNAMLib encouraged specialist doctors in sector I to move to sector II. Even if such a practice falls within the general scope of the denunciations made by the said referral, no element in the file demonstrates its existence during a period prior to this, nor the existence of incentives for deconventioning, which CNAMLib contests being the origin of. Furthermore, these practices are sufficiently distinct from those implemented prior to the referral and which were the subject of grievances against the other unions: they cannot be regarded as a mere continuation of them. Under these conditions, the Council cannot examine the sole grievance notified to CNAMLib, concerning the encouragement to move to sector II or to deconvention, materialized by elements collected during the investigation conducted after the referral.</w:t>
      </w:r>
    </w:p>
    <w:p>
      <w:r>
        <w:t>C. ON THE MARKETS</w:t>
      </w:r>
    </w:p>
    <w:p>
      <w:r>
        <w:t>83. As previously indicated, the relevant service markets are those of consultations, technical acts, and surgical acts of liberal sector I doctors for the different categories of specialties. These markets are necessarily distinct according to specialties, and even according to certain conditions or types of care pertaining to a specialty. Likewise, the geographical scope of these different markets for patients is, a priori, local.</w:t>
      </w:r>
    </w:p>
    <w:p>
      <w:r>
        <w:t>84. Several of the implicated unions deduce that since the offers of care are not substitutable for one another, the markets retained are not relevant in terms of the substitution effects they allow. The grievances would therefore be unfounded. However, the directives examined in this case have affected all of these markets across the national territory. The precise delineation of relevant markets, by specialty, type of care, or location is not necessary concerning collusion practices, as the Council recalled in decision no. 07-D-41 mentioned above: "It is (...) not necessary to define the market precisely, as in cases of abuse of dominant position, as long as the sector and the markets have been sufficiently identified to allow for the qualification of the practices observed therein and to attribute them to the operators who implemented them." (see for example decision no. 05-D-27 of June 15, 2005, concerning practices observed in the white tuna sector).</w:t>
      </w:r>
    </w:p>
    <w:p>
      <w:r>
        <w:t>D. ON THE QUALIFICATION OF PRACTICES</w:t>
      </w:r>
    </w:p>
    <w:p>
      <w:r>
        <w:t>1. GENERAL ANALYSIS</w:t>
      </w:r>
    </w:p>
    <w:p>
      <w:r>
        <w:t>85. It emerges from the file that CSMF, UMESPE, SML, and FMF, in the overall market for acts of liberal sector I specialist doctors, and SYNGOF, SNPP, and SNPF in this same market but for their respective specialties, were the originators of coordinated actions with their members to obtain an artificial increase in their fees, disrupting the conditions of competition prevailing in their respective markets.</w:t>
      </w:r>
    </w:p>
    <w:p>
      <w:r>
        <w:t>On the organization of collusions</w:t>
      </w:r>
    </w:p>
    <w:p>
      <w:r>
        <w:t>86. It emerges from the facts, outlined in paragraphs 22 to 53 of this decision, that all the implicated unions (except for CNAMLib which has been excluded for the reasons outlined in paragraph 82 of this decision) disseminated instructions to their members aimed at the simultaneous implementation, by these members, of the provisions set out in Article 12 of the minimum conventional regulation concerning exceptional fee overruns. These coordinated actions constitute collusions, as indicated above in paragraph 66. More specifically, as the Competition Council explained in decision no. 97-D-45 of June 10, 1997, concerning practices implemented by the National Council of the Order of Architects, "the preparation and dissemination at the initiative of a professional organization of a document intended for all its members constitutes a concerted action(...)." The Court of Cassation has indicated, ".... a professional order represents the collective of its members, and (...) a practice likely to have an anti-competitive object or effect implemented by such an organization necessarily reveals a collusion [in the sense of competition law]" (judgment of May 16, 2000, rendered in the context of appeals against the decision of the Competition Council no. 97-D-18 of March 18, 1997, concerning practices observed in the home medication delivery sector).</w:t>
      </w:r>
    </w:p>
    <w:p>
      <w:r>
        <w:t>On the increase in fees obtained and its artificial nature</w:t>
      </w:r>
    </w:p>
    <w:p>
      <w:r>
        <w:t>87. It emerges from the facts, outlined in paragraphs 22 to 53 of this decision, that the collusions aimed at raising the fee rates, each collusion consisting of the collective mobilization of means of increase (the DE) substituting the normal method of increase, as provided by the texts: the signing of agreements between the representative unions (this is the case for the implicated parties: CSMF, FMF, and SML) and the health insurance funds. To obtain this increase outside the normal channels provided, the remaining implicated unions used the provisions of Article 12 of the RCM. In doing so, they organized the diversion of an individual means, open to any doctor within the framework of the singular consultation that the practitioner has with their patient to agree with them on the amount of remuneration for any exceptional demands of the patient. From this individual means, they made an expanded, collective, and concerted use imposed on the patient, this means substituting the collective negotiation provided by the texts, during which the unions normally exercise their role. The Council therefore considers that the increase in fees obtained was achieved through the implementation of a concerted process among market actors, foreign to the negotiation and signing of agreements that constitute the means open to normal union action, according to the texts.</w:t>
      </w:r>
    </w:p>
    <w:p>
      <w:r>
        <w:t>On the anti-competitive nature of the artificial increase in fees</w:t>
      </w:r>
    </w:p>
    <w:p>
      <w:r>
        <w:t>88. The overall market for acts of liberal sector I specialists, as well as the specific markets corresponding to the three specialties implicated in this case, are competitive markets with regulated prices. In these markets, the confrontation of supply and demand distinguishes the mechanisms for setting prices from those determining the choice of the service provider by the requester.</w:t>
      </w:r>
    </w:p>
    <w:p>
      <w:r>
        <w:t>89. The majority of prices, if not all, are covered by insurers (health funds and complementary insurance), the determination of prices in these markets does not result from an individual confrontation between supply and demand but from a confrontation between requesters collectively represented by their insurance funds and providers, collectively represented by their representative unions. The prices that result are then "fixed" in the sense that they apply uniformly to all acts of the providers. At these fixed prices, the competition among providers occurs through the quality of the services offered, as seen in paragraph 72.</w:t>
      </w:r>
    </w:p>
    <w:p>
      <w:r>
        <w:t>90. This situation results from the will of the legislator. It compensates for the inferiority of the situation of the requesting patient in the face of the medical offer if they had to arbitrate both the economic conditions of the exchange and the satisfaction they feel from the medical service they receive. Shifting the responsibility for balancing the economic confrontation of supply and demand onto the main final payer, the insurer, allows the patient to focus on the competitive part of the market they control, namely the free choice of their care provider based on the quality they perceive from the care offered to them, which restores a more balanced competitive situation.</w:t>
      </w:r>
    </w:p>
    <w:p>
      <w:r>
        <w:t>91. The artificial increase in fees has disrupted this balance. Indeed, the facts gathered in the file show that the practices in question have led to a significant overall increase in the price of care, as will be established further in this decision: approximately 180 million euros. Furthermore, not being recognized by insurers as part of the "fixed prices" resulting from the collective price-setting mechanism, this additional charge has often remained the responsibility of the patient. The Council notes that one of the implicated unions (SYNGOF) recommended to its members to impose this additional charge even on beneficiaries of universal health coverage (CMU), despite the modest incomes of these beneficiaries. Finally, the diversity and multiplicity of reasons resulting from union directives to justify the use of exceptional overruns have made the price of the requested act unpredictable for the patient: according to the directives, only a fraction of acts should lead to an overrun, this fraction being determined based on what the union anticipated as legally acceptable by the concerned health fund. In cases where an overrun was applied, the price of the consultation could depend on the day, the hour, the frequency of requested appointments, the use or non-use of the vital card, the request for certificates or technical acts that could be performed by a non-doctor, as specified by the president of the Lorraine branch of UMESPE (see paragraph 24 of this decision), which makes the defendants' claim that the patient was informed of the DE they would have to undergo when making their appointment implausible. Moreover, among the recommended reasons is the number of hours already spent by the doctor consulting if this number exceeds 25 or 40 hours, according to the directives, which, in any case, is not predictable at the time of making the appointment.</w:t>
      </w:r>
    </w:p>
    <w:p>
      <w:r>
        <w:t>92. Consequently, the practices in question have introduced new contingencies that are both burdensome, random, and obscure in the economic conditions surrounding the choice made by patients (the price remaining the responsibility of the patient). Instead of the choice of sector I guaranteeing the patient the price level they must pay as long as their demands are not exceptional, the practices in question have transformed the most normal requests of this patient into exceptional ones. The stable choice made in favor of a doctor, and for a well-anticipated price, has proven to lead to a different payment, often significantly higher, which has disrupted the competition based on quality inherent in this choice. The Council concludes that the collusions aimed at obtaining an artificial increase in fees had an object and resulted in anti-competitive effects on the functioning of the concerned markets.</w:t>
      </w:r>
    </w:p>
    <w:p>
      <w:r>
        <w:rPr>
          <w:b/>
        </w:rPr>
        <w:t>[Pages 22–24]</w:t>
      </w:r>
    </w:p>
    <w:p>
      <w:r>
        <w:t>93. The Council notes that the parties involved did not limit themselves to expressing a common union demand for an increase in the income of their constituents. Indeed, the analyses that precede show that the organizations in question resorted to artificial means to achieve this objective, disregarding the prohibition of concerted actions distorting competition, as set out in Article L. 420-1 of the Commercial Code.</w:t>
      </w:r>
    </w:p>
    <w:p>
      <w:r>
        <w:t>94. During the session, some parties argued that their directives were justified by the difficulties faced by sector I specialist doctors at the time of the facts. Invoking the judgment of the Court of Justice of the European Communities of July 18, 2006, Meca-Medina and Majcen (C-519/04P, Rec. p. I-6991), they argued that their practices were legitimate insofar as the restrictive effects on competition resulting from them were proportionate to the objective set.</w:t>
      </w:r>
    </w:p>
    <w:p>
      <w:r>
        <w:t>95. In this judgment, which concerned the anti-doping rules adopted by the International Olympic Committee, the Court ruled that: "assuming (...) that an anti-doping regulation should be regarded as a decision of an association of undertakings limiting the freedom of action of the persons it targets, it cannot, however, necessarily constitute a restriction of competition incompatible with the common market, within the meaning of Article 81 EC, as long as it is justified by a legitimate objective. Indeed, such a limitation is inherent to the organization and proper conduct of sporting competition and aims precisely to ensure healthy competition among athletes. However, the repressive nature of such anti-doping regulation and the severity of the sanctions applicable in the event of a violation thereof are likely to produce negative effects on competition, as they could, in cases where these sanctions ultimately prove unfounded, lead to the unjustified exclusion of the athlete from competitions, and thus distort the conditions for exercising the activity in question. It follows that, in order to escape the prohibition of Article 81, paragraph 1, EC, the restrictions thus imposed by this regulation must be limited to what is necessary to ensure the proper conduct of sporting competition. Such regulation could indeed prove excessive, on the one hand in determining the conditions allowing to draw the line between situations involving doping subject to sanctions and those that do not, and on the other hand in the severity of the said sanctions."</w:t>
      </w:r>
    </w:p>
    <w:p>
      <w:r>
        <w:t>96. Nevertheless, in this case, as in the neighboring case that led to the Court's judgment of February 19, 2002, Wouters et al. (C-309/99, Rec. p. I-1577) concerning a regulation of the Dutch Bar Association, non-tariff regulations established by associations of undertakings invested with the power to enact such regulations were at issue. However, in this case, the recognized representative trade union organizations of doctors are not invested with the power to freely set prices but only to negotiate them with health insurance funds, within a conventional framework. Now, the instructions leading to the artificial increase in fees were precisely aimed at substituting for conventional negotiations. Not only were they not necessary for the proper functioning of the market, but they directly undermined the rules of that proper functioning, as established by the legislator. Therefore, while it is not excluded that a concerted action by a professional association, even one not specifically authorized to adopt regulations concerning the exercise of the profession, could escape the prohibitions set out in Article 81 EC or Article L. 420-1 of the Commercial Code when the restriction on competition it entails is necessary for the proper functioning of the relevant market, it must be noted that this is not the case here. Indeed, the proper functioning of this market requires taking into account the interests of patients, which is precisely what the specific rules for setting tariffs aim to achieve. However, the instructions leading to the artificial increase in fees directly disregarded the interests of insured individuals since they disrupted the simplicity of the single pricing system allowing for competition based on the quality of the services offered, and induced a price increase not integrated into the mechanisms for social security coverage.</w:t>
      </w:r>
    </w:p>
    <w:p>
      <w:r>
        <w:t>97. UMESPE, CSMF, and SNPF consider that their action was part of their mission to inform their members about the use of a right to exceed that had previously been little used. The Competition Council has never contested the information mission of the unions aimed at assisting their members in the exercise or management of their activity, having recognized it again in its decision no. 07-D-41 of November 28, 2007, mentioned above. However, the Competition Council emphasized that even if "(...) these instructions [were] motivated by an alleged disregard for the Public Health Code, [this] does not remove their anti-competitive nature and does not prevent them from being sanctioned." The practice implemented by the union of calling on its members to broadly or systematically apply the DE in certain circumstances cannot fall under the information mission of the unions intended for their members. Indeed, it appears from the slogans and other documents gathered by the investigator and during the investigation that the union called on its members to broadly or systematically apply the DE with the aim of artificially increasing the amount of their consultations and did not seek to inform them of its existence or its legal conditions of application.</w:t>
      </w:r>
    </w:p>
    <w:p>
      <w:r>
        <w:t>98. Therefore, in light of all these elements, UMESPE, CSMF, and SNPF cannot effectively invoke this information mission.</w:t>
      </w:r>
    </w:p>
    <w:p>
      <w:r>
        <w:t>99. It is therefore established that the instructions from the trade union organizations of liberal specialist doctors given between October 2001 and February 2005 to widely use the DE or to systematically resort to it in certain circumstances were contrary to the provisions of Article L. 420-1 of the Commercial Code. The specific responsibility of each organization involved in disseminating these instructions will be examined below.</w:t>
      </w:r>
    </w:p>
    <w:p>
      <w:r>
        <w:t>2. THE CASE OF UMESPE</w:t>
      </w:r>
    </w:p>
    <w:p>
      <w:r>
        <w:t>100. UMESPE recommended that practitioners use the DE very broadly and limit, in principle, to 25 hours per week the working time during which doctors should apply the tariff provided for their consultations, technical acts, and surgical acts. Beyond that, they were encouraged to systematically apply the DE.</w:t>
      </w:r>
    </w:p>
    <w:p>
      <w:r>
        <w:t>101. A study published in September 2005 by the Directorate of Research, Studies, Evaluation, and Statistics of the Ministry of Health, Youth, and Sports indicates that liberal specialist doctors worked an average of 47 hours and 7 minutes per week. Therefore, it appears that UMESPE encouraged doctors to systematically apply the DE for just over half of their working hours.</w:t>
      </w:r>
    </w:p>
    <w:p>
      <w:r>
        <w:t>102. Furthermore, the hours during which the applicable tariff should, on the contrary, apply correspond to the working hours of a very large part of the working population, as noted in paragraph 26 of this decision. This population thus had fewer opportunities to escape the effects of the directive.</w:t>
      </w:r>
    </w:p>
    <w:p>
      <w:r>
        <w:t>103. Finally, UMESPE called on its members to practice a minimum tariff of 30 euros and more for consultations but also for technical and surgical acts, which its president acknowledged during his hearing.</w:t>
      </w:r>
    </w:p>
    <w:p>
      <w:r>
        <w:t>104. UMESPE believes it took care to indicate in its directive contained in the document mentioned in paragraph 25, by which it recommended systematically using the DE beyond the 25th hour of consultation, that it could not be considered a union scale and that it was not of an imperative nature. It emphasizes that any potential use of the DE should be displayed in the waiting room. However, the union did indeed call on its members to practice a minimum tariff of 30 euros and above for clinical, technical, and surgical acts in another document titled "The Massive Mobilization of Specialist Doctors," a document that can be dated between April and May 2002 given the references to the political context contained therein (reference 607, document mentioned in paragraph 28).</w:t>
      </w:r>
    </w:p>
    <w:p>
      <w:r>
        <w:t>105. The potentially indicative nature of a minimum tariff level is not sufficient to exempt it from the prohibition set out in Article L. 420-1 of the Commercial Code. The Competition Council has, for example, sanctioned the National Council of the Order of Architects in its decision no. 97-D-45 of June 10, 1997, for having established and disseminated to its members a table of indicative rates for the usual remuneration of different types of construction and development carried out by architects in the context of their regular missions, allowing for the establishment of the fee rate to be applied. Finally, regarding the information for patients displayed in the waiting room, it would be ineffective, assuming it were established, as it is unlikely that upon reading the information in the waiting room, patients would decide to cancel their appointment due, among other things, to the significant delay required to obtain an appointment with a specialist doctor.</w:t>
      </w:r>
    </w:p>
    <w:p>
      <w:r>
        <w:t>106. UMESPE also disputes having encouraged practitioners throughout the entire period considered to increase their fees through an expanded use of the DE. However, on March 14, 2004, the steering committee of UMESPE called for "(...) a significant continuation of the DE, but without risking becoming illegal through a generalization of a small overrun." Besides the fact that the union was aware of the risk represented by a systematic use of the DE, it appears that it still maintained its directive in 2004, which had been initiated as early as October 2001, as evidenced by the document mentioned in paragraph 22. Furthermore, during his hearing, the president of UMESPE stated: "(...) the practice [of an expanded use of the DE] ceased as soon as the new convention was signed in February 2005." In light of all these elements, UMESPE cannot contest having encouraged its members to widely use the DE from October 2001 until February 2005.</w:t>
      </w:r>
    </w:p>
    <w:p>
      <w:r>
        <w:t>107. Finally, UMESPE essentially argues that the increase in consultation fees did not result from an artificial price setting but simply from the use of the DE, an integral part of the pricing system for consultations. This argument must be dismissed. Firstly, as indicated in paragraph 76 of this decision, the legality or illegality of the use of the DE is irrelevant in this case: it is not the potential illegality, on a case-by-case basis, of this use that justifies the qualification of the practice but the concerted and collective use of an individual provision. Secondly, to assert that the sudden and massive increase in the number of uses of the DE would stem solely from a "natural" use of the instrument is equivalent to claiming that it is purely coincidental that the increased use of the DE coincides with union directives, which is not credible.</w:t>
      </w:r>
    </w:p>
    <w:p>
      <w:r>
        <w:rPr>
          <w:b/>
        </w:rPr>
        <w:t>[Pages 25–27]</w:t>
      </w:r>
    </w:p>
    <w:p>
      <w:r>
        <w:t>108. In conclusion, the facts recalled in paragraphs 22 to 29 of this decision establish that, from the end of 2001 to February 2005, UMESPE played an important role in the implementation and development of practices consisting of recommending to doctors the concerted and expanded use of DE to effectively obtain an increase in their fees. From April-May 2002, UMESPE reinforced these instructions by asking its members to apply a DE amount bringing the consultation fee to a minimum of 30 euros. These practices constitute a violation of Article L. 420-1 of the Commercial Code.</w:t>
      </w:r>
    </w:p>
    <w:p>
      <w:r>
        <w:t>3. THE CASE OF CSMF</w:t>
      </w:r>
    </w:p>
    <w:p>
      <w:r>
        <w:t>109. CSMF called on its members to broadly apply the DE no later than from its general assembly on March 16, 2002, the minutes of which are cited in paragraph 30 of this decision. The union did indeed subsequently recommend that its members respect the principle of "time and place" and apply the DE only to a minority of their consultations, but it called during the summer of 2003 for doctors to systematically apply the DE "on liberated health Wednesdays" under the conditions mentioned in paragraphs 32 and 33 of this decision, reminding that this directive did not prohibit its members from applying the DE on other days of the week.</w:t>
      </w:r>
    </w:p>
    <w:p>
      <w:r>
        <w:t>110. To contest having violated Article L. 420-1 of the Commercial Code, CSMF puts forward several arguments.</w:t>
      </w:r>
    </w:p>
    <w:p>
      <w:r>
        <w:t>111. CSMF first argues that it did not call on its members to systematically use the DE during "liberated health Wednesdays." Indeed, it believes that total pricing freedom was left to liberal sector I specialist doctors, which could or could not translate, depending on the case, into fee overruns. For the same reasons mentioned above for UMESPE, however, the non-binding nature of the instructions given does not suffice to remove their anti-competitive character.</w:t>
      </w:r>
    </w:p>
    <w:p>
      <w:r>
        <w:t>112. CSMF also argues that patients voluntarily participated in the movement insofar as they were informed of the practice implemented by practitioners when making their appointments. However, the fact, assuming it is established, that the consumer is aware of the existence of a concerted practice by the professional implementing it does not remove the potentially anti-competitive nature of that practice. Furthermore, as already indicated, many patients could hardly escape it.</w:t>
      </w:r>
    </w:p>
    <w:p>
      <w:r>
        <w:t>113. The Council also notes that the formulations used by CSMF to describe its action were not of a nature to clearly inform patients about the reality of it. Expressions such as "the DE party," "liberated health days," or "the doctor does not want to earn more but to earn better" did not clearly express the reality of the objective of the instructions: to increase fees.</w:t>
      </w:r>
    </w:p>
    <w:p>
      <w:r>
        <w:t>114. Finally, CSMF invokes the ruling of the Paris Court of Appeal of April 15, 1992, which confirmed decision no. 91-D-43 of the Competition Council of October 22, 1991, concerning the fees of surgeons practicing in private clinics in the Lot-et-Garonne department. In this case, the complaint that a union of surgeons had communicated a fee schedule was dismissed. However, it emerges from this decision that it was due to a lack of evidence of the behavior in question that the Council considered that the violation was not established. The situation in the present case, in which the materiality of the behaviors is not in doubt, is different.</w:t>
      </w:r>
    </w:p>
    <w:p>
      <w:r>
        <w:t>115. In conclusion, the facts recalled in paragraphs 30 to 33 of this decision cannot be dismissed in light of the explanations provided by CSMF. They establish that, from March 2002 to the summer of 2003, the period covered by the notified complaint, this union very quickly accompanied the implementation and development of practices consisting of recommending to doctors the concerted and expanded use of DE to effectively obtain an increase in their fees. These practices constitute a violation of Article L. 420-1 of the Commercial Code.</w:t>
      </w:r>
    </w:p>
    <w:p>
      <w:r>
        <w:t>4. THE CASE OF FMF</w:t>
      </w:r>
    </w:p>
    <w:p>
      <w:r>
        <w:t>116. It appears that the union called on its members to broadly practice the DE not from June 2003 as mentioned by its president during his hearing, but earlier as demonstrated by the article published in the FMF magazine in March-April 2003, cited in paragraph 34 of this decision. Nevertheless, the complaint notified to FMF only targets its behavior from June 2003.</w:t>
      </w:r>
    </w:p>
    <w:p>
      <w:r>
        <w:t>117. The president of the union acknowledged during his hearing that FMF was aware of the dangers posed by its directive. However, the union maintained the instruction for a broad application of the DE for an indefinite duration.</w:t>
      </w:r>
    </w:p>
    <w:p>
      <w:r>
        <w:t>118. In conclusion, the facts recalled in paragraphs 34 to 36 of this decision establish that, from June 2003 to February 2005, FMF accompanied the development of practices consisting of recommending to doctors the concerted and expanded use of DE to effectively obtain an increase in their fees. The last directive examined dates from April 2004, but no evidence shows that it was retracted before the signing of the new medical convention in February 2005. These practices constitute a violation of Article L. 420-1 of the Commercial Code.</w:t>
      </w:r>
    </w:p>
    <w:p>
      <w:r>
        <w:t>5. THE CASE OF SML</w:t>
      </w:r>
    </w:p>
    <w:p>
      <w:r>
        <w:t>119. SML called on its members to broadly apply the DE. In December 2002, it recommended to its members, on the one hand, to apply the DE to 25% of their consultations and, on the other hand, to inform their patients of the time slots during which they would systematically apply it, without specifying by what means.</w:t>
      </w:r>
    </w:p>
    <w:p>
      <w:r>
        <w:t>120. During his hearing, the president of SML admitted that this directive caused excesses. That is why a new press release was published 5 months later. The union recommended that doctors systematically apply the DE beyond the fortieth hour of weekly consultations, with patients to be informed by means of notices in the waiting room.</w:t>
      </w:r>
    </w:p>
    <w:p>
      <w:r>
        <w:t>121. In conclusion, the facts recalled in paragraphs 37 and 38 of this decision establish that, from December 2002 to February 2005, this union developed practices consisting of recommending to doctors the concerted and expanded use of DE to effectively obtain an increase in their fees. These practices constitute a violation of Article L. 420-1 of the Commercial Code.</w:t>
      </w:r>
    </w:p>
    <w:p>
      <w:r>
        <w:t>6. THE CASE OF SYNGOF</w:t>
      </w:r>
    </w:p>
    <w:p>
      <w:r>
        <w:t>122. During his hearing, the president of SYNGOF indicated that it only called on its members to broadly apply the DE from January 2004. However, the elements collected during the investigation do not confirm this allegation. Indeed, the documents requested from SYNGOF demonstrate that it recommended to its members to broadly apply the DE as early as December 2001. Furthermore, in the document sent to its members in December 2001, SYNGOF encouraged them to systematically apply the DE after the 25th hour of weekly consultations according to the modalities set by UMESPE. Moreover, the directive concerned consultations but also deliveries and ultrasounds performed outside the recommended hours. In addition, SYNGOF called on practitioners to participate in the "Wednesdays of DE." Finally, the union specified that the DE applied even to patients benefiting from CMU.</w:t>
      </w:r>
    </w:p>
    <w:p>
      <w:r>
        <w:t>123. In January 2004, SYNGOF radicalized its directive as it recommended systematically applying the DE to all acts deemed risky such as ultrasounds performed during pregnancies, deliveries, and surgical interventions. It should be noted that at the time, the RCM allowed obstetrician-gynecologists to apply a supplement for deliveries that took place at night. Thus, patients would be charged the night rate but also the DE if they were to give birth after 8:00 PM.</w:t>
      </w:r>
    </w:p>
    <w:p>
      <w:r>
        <w:t>124. SYNGOF argues in its observations that the practice for which it is reproached was motivated by an imperative for economic progress. Indeed, according to the union, obstetrician-gynecologists facing an exponential increase in their professional civil liability insurance premiums, the economic conditions for operating their private practices were disrupted. This increase in professional civil liability insurance premiums would have had a significant impact on the "demography" of obstetrician-gynecologists. Thus, according to SYNGOF, its union action was solely aimed at economic progress to counteract the scarcity of practitioners by promoting the sustainability of gynecology and obstetrics structures for the benefit of patients.</w:t>
      </w:r>
    </w:p>
    <w:p>
      <w:r>
        <w:t>125. In its decision no. 99-D-84 of December 21, 1999, concerning practices observed in the retail sector of coal and domestic fuel in the Nord-Pas-de-Calais region, the Competition Council indicated "(...) that in any case such practices aim to restrict competition for the products in question and, far from reserving for users a fair share of the resulting profit, impose the entire burden on them; they do not therefore meet the conditions required by Article 10-2 of the ordinance of December 1, 1986." In this case, it is not established that the increase in insurance premiums borne by obstetrician-gynecologists jeopardized the existence of the profession, as other solutions than passing this increase onto the fees remaining to be paid by the patient were implemented to resolve this issue. Furthermore, it is difficult to claim that this practice reserved a fair share of the resulting profit for patients. Indeed, according to a study published by IGASS in April 2007 entitled "Medical Fee Overruns," only one-third of people with supplementary health insurance are reimbursed up to 150% of the amount of their consultations. Therefore, it must be considered that Article L. 420-4-II of the Commercial Code cannot apply to the case at hand.</w:t>
      </w:r>
    </w:p>
    <w:p>
      <w:r>
        <w:rPr>
          <w:b/>
        </w:rPr>
        <w:t>[Pages 28–30]</w:t>
      </w:r>
    </w:p>
    <w:p>
      <w:r>
        <w:t>126. In conclusion, the facts recalled in paragraphs 39 to 43 of this decision establish that, from December 2001 to February 2005, this union implemented and developed practices consisting of recommending to doctors the concerted, expanded, or systematic use of DE to effectively obtain an increase in their fees. These practices constitute a violation of Article L. 420-1 of the Commercial Code.</w:t>
      </w:r>
    </w:p>
    <w:p>
      <w:r>
        <w:t>7. THE CASE OF SNPP</w:t>
      </w:r>
    </w:p>
    <w:p>
      <w:r>
        <w:t>127. The SNPP adopted the directive of UMESPE and asked its members in January 2002 to apply DE broadly. Indeed, the union considered that due to the existing imbalance between supply and demand to the detriment of patients, the mere act of obtaining an appointment became an exceptional circumstance justifying the application of a DE. Furthermore, the union recommended applying the DE "without measure," but also to increase it. The Secretary General of the union indicated during his hearing that this phrase did not invite doctors to raise the level of DE, but would be a drafting error on his part. However, this explanation seems incompatible with the reality of the directives expressed, which demonstrate a hardening of the union's positions. Indeed, while originally the SNPP called on its members to apply DE broadly, it later suggested applying it without measure, recommending an increase in its level.</w:t>
      </w:r>
    </w:p>
    <w:p>
      <w:r>
        <w:t>128. Finally, it should be recalled that the call for caution contained in the legal document of the SNPP regarding the use of DE, which was available on the union's website, was not taken into account. Indeed, in light of the doubts expressed by the author, the SNPP should have at least questioned its practice. However, it appears that the union maintained its various directives.</w:t>
      </w:r>
    </w:p>
    <w:p>
      <w:r>
        <w:t>129. The SNPP emphasizes in its observations the illegality of the decree of November 13, 1998, establishing a minimum contractual regulation, for failing to be submitted for advice to the Competition Council based on Article L. 462-2 of the Commercial Code, which states that: "The Council is mandatorily consulted by the Government on any draft regulatory text establishing a new regime that directly results in: (...) 3° imposing uniform practices regarding prices or sales conditions." However, it is not for the Council to rule on the legality of inter-ministerial decrees regulating the practice of a profession or decisions of health insurance funds concerning the change of status of doctors, the assessment of which falls to the competent judge. In any case, the Competition Council does not need to be consulted based on Article L. 462-2 of the Commercial Code when the regulation of an already established regime is modified without its economy being substantially changed, as indicated by the Council of State in its ruling of April 30, 1997 (CE, April 30, 1997, no. 169444, Arkopharma). Thus, the company Arkopharma had referred to the Council of State because it considered that the absence of consultation of the Competition Council regarding the code of ethics of pharmacists tainted the administrative act that made it mandatory with illegality. However, the Council of State held that "the new code of ethics for pharmacists established by the decree of March 14, 1995, even if it concerns some of the subjects listed by the aforementioned provisions of Article 6 of the ordinance of December 1, 1986, does not involve the establishment of a 'new regime,' so that the government was not required to obtain the prior opinion of the Competition Council." In this case, the aforementioned decree of November 13, 1998, cannot be considered as constituting a new regime. Indeed, the first national agreement organizing the relations between general practitioners and liberal specialists and the health insurance organizations and setting the binding tariffs for the various acts performed by the concerned practitioners was signed in 1971. Therefore, it appears that the minimum contractual regulation of 1998 does not establish a new regime but merely makes a number of modifications to the previous regime.</w:t>
      </w:r>
    </w:p>
    <w:p>
      <w:r>
        <w:t>130. In conclusion, the facts recalled in paragraphs 44 to 50 of this decision establish that, from January 2002 to February 2005, the SNPP implemented and developed practices consisting of recommending to doctors the concerted and expanded, even "without measure," use of DE to effectively obtain an increase in their fees. These practices constitute a violation of Article L. 420-1 of the Commercial Code.</w:t>
      </w:r>
    </w:p>
    <w:p>
      <w:r>
        <w:t>8. THE CASE OF SNPF</w:t>
      </w:r>
    </w:p>
    <w:p>
      <w:r>
        <w:t>131. The union called on its members to apply DE broadly starting from April 2002.</w:t>
      </w:r>
    </w:p>
    <w:p>
      <w:r>
        <w:t>132. The union believes that it should have been demonstrated that liberal pediatricians in sector I were prevented from freely setting their fees due to its directive. In light of the various directives formalized by SNPF, it appears that the union called on its members to apply DE broadly or systematically. Through this practice, the union recommended that its members apply a pre-established pricing rule within the framework of a concerted action and not to use DE on a case-by-case basis. Therefore, it appears that SNPF reduced the autonomy of its members through this practice.</w:t>
      </w:r>
    </w:p>
    <w:p>
      <w:r>
        <w:t>133. In conclusion, the facts recalled in paragraphs 51 to 53 of this decision establish that, from April 2002 to February 2005, SNPF developed practices consisting of recommending to doctors the concerted and expanded use of DE to effectively obtain an increase in their fees. These practices constitute a violation of Article L. 420-1 of the Commercial Code.</w:t>
      </w:r>
    </w:p>
    <w:p>
      <w:r>
        <w:t>E. ON THE FOLLOW-UP ACTIONS</w:t>
      </w:r>
    </w:p>
    <w:p>
      <w:r>
        <w:t>134. Article L. 464-2 of the Commercial Code provides that if the offender is not a company, the maximum amount of the financial penalty that can be imposed is 3 million euros. It also states that "financial penalties are proportionate to the seriousness of the facts alleged, the extent of the damage caused to the economy, the situation of the sanctioned organization or company or the group to which the company belongs, and any repetition of practices prohibited by this title (...)." Furthermore, pursuant to Article L. 464-5 of the Commercial Code, when the Council rules according to the simplified procedure provided for in Article L. 463-3, that is to say, without prior establishment of a report, the ceiling of the penalty incurred is 750,000 euros.</w:t>
      </w:r>
    </w:p>
    <w:p>
      <w:r>
        <w:t>135. Article L. 464-2 of the Commercial Code also provides that the Competition Council may order the publication of its decision or an excerpt thereof according to the modalities it specifies.</w:t>
      </w:r>
    </w:p>
    <w:p>
      <w:r>
        <w:t>1. ON THE SEVERITY OF THE PRACTICES</w:t>
      </w:r>
    </w:p>
    <w:p>
      <w:r>
        <w:t>136. According to the consistent decision-making practice of the Council, agreements or concerted actions are considered particularly serious, especially when they promote a rise in prices. However, this severity is assessed more finely, on a case-by-case basis, taking into account the duration of participation in the agreement and the degree of involvement of each party involved in its organization. These points will be examined union by union.</w:t>
      </w:r>
    </w:p>
    <w:p>
      <w:r>
        <w:t>137. Furthermore, the severity of the practice must also be assessed by considering the possibilities available to its victims to escape it. However, the circumstances of the case show that patients had difficulty escaping the effects of the agreement. Firstly, a high number of practitioners followed the directives of the unions, as shown by the statistics used to assess the damage to the economy (see below paragraph 145). Secondly, one can doubt that patients were inclined to leave their practitioners for doctors charging lower fees. Indeed, the specificity of the relationship between the doctor and the patient and the low degree of information of the latter lead patients to remain loyal to their doctor even if they increase the amount of their consultations. As indicated by the Competition Commission in its opinion of June 20, 1985, on certain pricing practices of doctors in the conventioned sector with free fees, "the relationship between the doctor and the patient is irreducible to that which unites the usual service provider to its client: if the phenomenon of personal loyalty to the general practitioner may tend to diminish, especially in urban areas where medical density is constantly rising, it remains quite vivid; it contributes to relativizing the importance of the price criterion, which plays even less since the patient is in any case assured of reimbursement at a certain percentage of the conventional tariff as long as the doctor is conventioned." Thus, the practices implemented by the unions could prove particularly harmful as they risk further reinforcing the natural rigidity of the market.</w:t>
      </w:r>
    </w:p>
    <w:p>
      <w:r>
        <w:t>138. Regarding the individual elements influencing the severity of the behavior of each implicated union, reference is made to the developments concerning the qualification of the practices.</w:t>
      </w:r>
    </w:p>
    <w:p>
      <w:r>
        <w:t>2. ON THE DAMAGE TO THE ECONOMY</w:t>
      </w:r>
    </w:p>
    <w:p>
      <w:r>
        <w:t>139. The statistics provided by the National Health Insurance Fund for Salaried Workers (CNAMTS) during the investigation regarding the use of DE, particularly the documents referenced in files 2226 to 2230, allow for the calculation of the amount of DE practiced during the year 2001 and during each of the years 2002, 2003, and 2004, on the one hand for all specialist doctors in sector I, and on the other hand for the three specialties corresponding to the implicated vertical unions.</w:t>
      </w:r>
    </w:p>
    <w:p>
      <w:r>
        <w:t>140. Since the union directives began to be implemented at the end of 2001, the Council considers that this year is the last of the period not affected by these directives. It deduces that the amount of DE practiced during 2001 is an estimate of the annual magnitude of the normal amount of DE that could have been observed if the directive to use them more systematically had not been given by the unions. This hypothesis tends to underestimate the amount of the increase in overruns since it neglects the effect that the directives may have had as early as 2001. It is therefore favorable to the defendants.</w:t>
      </w:r>
    </w:p>
    <w:p>
      <w:r>
        <w:rPr>
          <w:b/>
        </w:rPr>
        <w:t>[Pages 31–33]</w:t>
      </w:r>
    </w:p>
    <w:p>
      <w:r>
        <w:t>141. Conversely, the three years 2002, 2003, and 2004 are fully affected by the effect of these instructions. The Council deduces that the increase in DE recorded for each of these three years compared to the normal amount of 2001 provides an approximation, in order of magnitude, of the annual effect of these instructions. The new agreement having been signed in February 2005, this approach neglects the residual effect of the instructions on the year 2005, which is also favorable to the defendants. At the end of this analysis, the Council obtains an estimate of the total order of magnitude of the effect of the instructions by calculating the increase in overruns for each of the three years under review compared to 2001 and adding these three increases. It performs this calculation, on the one hand for all specialist doctors in sector I, and on the other hand for the three specialties corresponding to the implicated vertical unions.</w:t>
      </w:r>
    </w:p>
    <w:p>
      <w:r>
        <w:t>All specialist doctors in sector I</w:t>
        <w:br/>
        <w:t>Year Authorized DE Unauthorized DE Total</w:t>
        <w:br/>
        <w:t>2002 41.4 50.0 91.4</w:t>
        <w:br/>
        <w:t>2003 59.0 57.2 116.2</w:t>
        <w:br/>
        <w:t>2004 57.5 63.6 121.1</w:t>
        <w:br/>
        <w:t>Total 157.9 170.8 328.7</w:t>
        <w:br/>
        <w:t>Reminder: 2001 14.9 34.4 49.3</w:t>
        <w:br/>
        <w:t>(in millions of euros)</w:t>
      </w:r>
    </w:p>
    <w:p>
      <w:r>
        <w:t>Obstetrician-gynecologists in sector I</w:t>
        <w:br/>
        <w:t>Year Authorized DE Unauthorized DE Total</w:t>
        <w:br/>
        <w:t>2002 6.8 4.1 10.9</w:t>
        <w:br/>
        <w:t>2003 12.5 6.6 19.1</w:t>
        <w:br/>
        <w:t>2004 11.3 8.8 20.1</w:t>
        <w:br/>
        <w:t>Total 30.6 19.5 50.1</w:t>
        <w:br/>
        <w:t>Reminder: 2001 1.3 2.0 3.3</w:t>
        <w:br/>
        <w:t>(in millions of euros)</w:t>
      </w:r>
    </w:p>
    <w:p>
      <w:r>
        <w:t>Pediatricians in sector I</w:t>
        <w:br/>
        <w:t>Year Authorized DE Unauthorized DE Total</w:t>
        <w:br/>
        <w:t>2002 4.3 3.4 7.7</w:t>
        <w:br/>
        <w:t>2003 3.6 2.5 6.1</w:t>
        <w:br/>
        <w:t>2004 2.6 1.7 4.3</w:t>
        <w:br/>
        <w:t>Total 10.5 7.6 18.1</w:t>
        <w:br/>
        <w:t>Reminder: 2001 0.7 0.7 1.4</w:t>
        <w:br/>
        <w:t>(in millions of euros)</w:t>
      </w:r>
    </w:p>
    <w:p>
      <w:r>
        <w:t>Psychiatrists in sector I</w:t>
        <w:br/>
        <w:t>Year Authorized DE Unauthorized DE Total</w:t>
        <w:br/>
        <w:t>2002 6.0 3.7 9.7</w:t>
        <w:br/>
        <w:t>2003 10.2 5.2 15.4</w:t>
        <w:br/>
        <w:t>2004 9.2 5.0 14.2</w:t>
        <w:br/>
        <w:t>Total 25.4 13.9 39.3</w:t>
        <w:br/>
        <w:t>Reminder: 2001 2.4 2.8 5.2</w:t>
        <w:br/>
        <w:t>(in millions of euros)</w:t>
        <w:br/>
        <w:t>Source: CNAMTS</w:t>
      </w:r>
    </w:p>
    <w:p>
      <w:r>
        <w:t>142. The Council considers that the "abnormal" increases in DE thus calculated represent an approximation of the order of magnitude of the damage caused to the economy, overall for all doctors in sector I and, separately by specialty, for the three implicated specialties. It obtains the following results: total damage: approximately 180 million euros; of which, for the specialty of SYNGOF, approximately 20 million euros; for the specialty of SNPF, approximately 7 million euros; for the specialty of SNPP, approximately 12 million euros.</w:t>
      </w:r>
    </w:p>
    <w:p>
      <w:r>
        <w:t>143. The data used for these calculations having been annexed to the statement of objections but not commented on in this notification, the parties were invited, in session, to submit a note in deliberation to comment on these statistics.</w:t>
      </w:r>
    </w:p>
    <w:p>
      <w:r>
        <w:t>144. In its note in deliberation, UMESPE considers that the statistics provided by CNAMTS do not demonstrate the causal link between the union's directives and the increase in the practice of DE by self-employed specialist doctors in sector I.</w:t>
      </w:r>
    </w:p>
    <w:p>
      <w:r>
        <w:t>145. However, it appears from the statistics provided by CNAMTS that the amount of overruns has suddenly more than doubled compared to 2001, during the three years in which the practices developed (see for example reference 2196). Both the number of specialists resorting to DE and the number of DE practiced have suddenly increased during the period 2002–2004 compared to the year 2001, that is to say precisely at the time of the implementation of the targeted behaviors. Therefore, it emerges from all these elements that the directives of the various unions of self-employed specialist doctors in sector I had a very significant impact on the behavior of practitioners.</w:t>
      </w:r>
    </w:p>
    <w:p>
      <w:r>
        <w:t>Number of Number of DE Average amount of Number of DE Amount</w:t>
        <w:br/>
        <w:t>specialists DE per doctor DE per doctor</w:t>
        <w:br/>
        <w:t>First semester of 17,382 548,306 6,597 461 32,380</w:t>
        <w:br/>
        <w:t>2001</w:t>
        <w:br/>
        <w:t>First semester of 21,430 1,674,710 14,464 382 78,675</w:t>
        <w:br/>
        <w:t>2002</w:t>
        <w:br/>
        <w:t>First semester of 22,364 4,082,688 30,110 356 183 1,346</w:t>
        <w:br/>
        <w:t>2003</w:t>
        <w:br/>
        <w:t>First semester of 25,072 3,289,038 29,487 313 131 1,176</w:t>
        <w:br/>
        <w:t>2004</w:t>
        <w:br/>
        <w:t>Source: CNAMTS (in number, only the first semesters are available)</w:t>
      </w:r>
    </w:p>
    <w:p>
      <w:r>
        <w:t>146. Some parties have argued that these statistics are unusable. Firstly, the person in charge of CNAMTS who transmitted them reportedly emphasized that only the data relating to the first semester of each year would be usable. In truth, this person indicated to the rapporteur: "I had an analysis done for the semester since 2001 to specifically respond to your request (...) but [the figures] were provided in annual cumulative form instead of the second semester. At this stage, therefore, it is rather the data from the first semesters that are usable in the perspective you have (...)". The Council does not know to which perspective the CNAMTS official is referring. It notes that, except for the numerical data, the annual cumulative figures are therefore included in these statistics and it intends to rely on these annual data, as a semester analysis provides only an illusory precision on the delay that may have occurred between the dissemination of the instructions and their implementation (one can also easily retrieve the data for the second semester of each year by subtracting the first semester data from the annual cumulative).</w:t>
      </w:r>
    </w:p>
    <w:p>
      <w:r>
        <w:t>147. Secondly, according to some parties, the statistical codes of the various fee overruns retained in all the documents transmitted to the rapporteur (references 2193 to 2236), from which the tables on which the Council intends to rely (references 2226 to 2230) are extracted, would be subject to discussion. One might, for example, question the existence of "DE" mentioned for practitioners in sector II, whereas the overruns of these doctors would never, by definition, be exceptional but habitual. The data from CNAMTS would therefore not be reliable. However, in this case, only the fee overruns of doctors in sector I are at issue, and the Council only retains the data relating to the overruns of specialist doctors in this sector.</w:t>
      </w:r>
    </w:p>
    <w:p>
      <w:r>
        <w:t>148. Thirdly, the overruns taken into account would group exceptional overruns and other overruns, not affected by the practices. But most of these overruns fall under the implementation of the exceptional overrun mechanism. If other overruns (for example, those of doctors authorized for permanent overruns) can marginally affect the total overruns of sector I, the Council only retains, as explained above, the increase in overruns between the period before and after the start of the practices to measure the effect of these practices, which, by difference, eliminates the risk of disturbance due to the marginal presence of overruns other than exceptional: not affected by the practices, they do not impact the increase in overruns.</w:t>
      </w:r>
    </w:p>
    <w:p>
      <w:r>
        <w:rPr>
          <w:b/>
        </w:rPr>
        <w:t>[Pages 34–36]</w:t>
      </w:r>
    </w:p>
    <w:p>
      <w:r>
        <w:t>149. Fourthly, the defendants allege that only "unjustified" overruns should be taken into account. Furthermore, they argue that the classification between authorized DE and unauthorized DE would only fall under local fund investigations, and not genuine national statistics. These arguments are ineffective. Indeed, it became clear during the explanations given in the session that the distinction between "justified" (classified E by CNAMTS) and "unjustified" (classified S) corresponded to whether the doctor had checked the box "patient's requirement" to justify their overrun. However, the fact that the doctor checked this box or not is meaningless, as all reported facts show that it was to respond to union instructions and not to the patient's requirements that doctors were led to significantly increase their overruns. Again, the difference calculation carried out by the Council to estimate the effect of the practices eliminates the risk of disruption. Therefore, the Council can validly use, in the tables concerning the overruns of sector I doctors from 2001 to 2004 (codes 2226 to 2229), the data under codes E and S to evaluate the evolution of the use of DE.</w:t>
      </w:r>
    </w:p>
    <w:p>
      <w:r>
        <w:t>150. Fifthly, some parties emphasize that the overruns addressed in the statistics concern not only consultations but also other acts of practitioners, whereas the grievances would only target consultations. However, this assertion is inaccurate, as can be seen from the reading of the grievances reproduced in paragraph 61 of this decision. While the rapporteur has sometimes used the word "consultations" alone without adding "and other acts" in certain passages of the detail of his presentation or analysis preceding the formulation of the grievances, he clarified in the conclusion of the grievance presentation that the practices in question concerned "clinical, technical, and surgical acts."</w:t>
      </w:r>
    </w:p>
    <w:p>
      <w:r>
        <w:t>151. Sixthly, it is finally argued that most overruns corresponded to the rounding by doctors to 23 euros of the consultation price when transitioning to the euro, whereas the conversion of the amount of 150 F in force gave a sum of 22.87 euros. However, the calculation made by the Council to assess the extent of the damage to the economy takes into account the minor aspect of this cause of overrun, as it is based on the increase in the amount of overruns and not on the increase in their number. It is, however, established that this practice of rounding the consultation price occurred before the rate was officially re-evaluated. Regardless of its impact, it indeed took place in a context where the organizations involved encouraged the widespread use of DE and could only have been encouraged by these directives.</w:t>
      </w:r>
    </w:p>
    <w:p>
      <w:r>
        <w:t>152. Overall, the Council maintains that these evaluations provide a robust order of magnitude of the damage caused to the economy by all the practices of the medical unions involved.</w:t>
      </w:r>
    </w:p>
    <w:p>
      <w:r>
        <w:t>153. These evaluations reveal amounts that can be described as extremely significant. Due to this very significance, the Council is prevented from applying its usual decision-making practice of adjusting, before taking into account specific elements relating to the individual situation of the defendant, the financial penalties imposed so that their amounts are at least equivalent to the excess profits derived from the practices. Indeed, in this case, this excess profit was acquired by the member doctors and not by the unions themselves, whose own resources are not of a sufficient order of magnitude to reimburse this excess profit. Furthermore, these unions do not have the means to impose on their members the obligation to pay sanctions of this magnitude. The impossibility of adjusting the sanctions, at a minimum, to the amount of the damage caused by each union leads to not evaluating and attributing to each union the share of the damages for which it is specifically responsible. Moreover, when several companies are involved, it is sufficient for the Council to characterize the importance of the overall damage caused to the economy, without seeking the share of this damage attributable to each company, as notably resulted from the ruling of the Paris Court of Appeal of November 20, 2007, Carrefour, (no. 2006/21159). On the other hand, the proven duration of the practices of each sanctioned union will be taken into account, in terms of its individual situation, for the determination of its sanction.</w:t>
      </w:r>
    </w:p>
    <w:p>
      <w:r>
        <w:t>154. Finally, UMESPE claims to have derived no advantage, even indirectly, from the increase in the price of consultations for liberal sector I specialist doctors. However, the union, whose purpose is not to generate profits but to safeguard the interests of its members, is composed of so-called vertical unions which themselves are made up of doctors, who directly benefited from the directives formalized by the unions. Therefore, while UMESPE did not derive any advantage, its members saw their fees increase during the years in question. However, the Council will take into account, in determining its sanctions, that only the members and not the medical unions benefited from the organized price increases.</w:t>
      </w:r>
    </w:p>
    <w:p>
      <w:r>
        <w:t>3. ON THE PARTICULAR SITUATION OF THE DEFENDANTS AND THE SANCTIONS</w:t>
      </w:r>
    </w:p>
    <w:p>
      <w:r>
        <w:t>155. As a preliminary matter, a distinction must be made between the unions. Indeed, while two unions were at the origin of the movement, the others followed. Furthermore, the directives of the unions have varied in severity.</w:t>
      </w:r>
    </w:p>
    <w:p>
      <w:r>
        <w:t>156. Thus, UMESPE and SML, two of the main multi-category unions, were at the origin of the movement since as early as October 2001, they called on their members to widely apply DE until February 2005, the date on which the new convention for specialist doctors was adopted. However, the directives of UMESPE appear to be of a more serious nature than those of SML, as in addition to a systematic use of DE beyond the 25th hour of weekly consultation, the union encouraged its members to set a minimum fee of 30 euros and beyond, both for clinical, technical, and surgical acts.</w:t>
      </w:r>
    </w:p>
    <w:p>
      <w:r>
        <w:t>157. The other unions joined a movement initiated by UMESPE and SML. Thus, SYNGOF, SNPP, CSMF, FMF, and SNPF called on their members to widely apply DE starting from December 2001, January 2002, March 2002, and finally April 2002, until February 2005, excluding CSMF whose practice is not established beyond the summer of 2003.</w:t>
      </w:r>
    </w:p>
    <w:p>
      <w:r>
        <w:t>158. Furthermore, the practices of these unions can be differentiated to some extent. Indeed, while FMF and SNPF only called on their members to widely apply DE, CSMF encouraged them to use it systematically during the summer of 2003, just like SYNGOF, within the framework of the "liberated health Wednesdays." Moreover, SNPP recommended that its members increase DE and maintained its directive even when warned by one of its advisors of the anti-competitive risk that this entailed. Finally, SYNGOF called on its members to systematically apply DE across all clinical, technical, and surgical acts for beneficiaries of CMU.</w:t>
      </w:r>
    </w:p>
    <w:p>
      <w:r>
        <w:t>UMESPE</w:t>
      </w:r>
    </w:p>
    <w:p>
      <w:r>
        <w:t>159. It follows from the facts presented in paragraphs 22 to 29 and analyzed in paragraphs 100 to 108 of this decision that this union, for approximately 12 quarters, played an important role in the implementation and development of a serious anti-competitive practice causing extremely significant damage to the economy. The financial resources of this union are summarized in the following table:</w:t>
      </w:r>
    </w:p>
    <w:p>
      <w:r>
        <w:t>Year 2001 2002 2003 2004 2005</w:t>
        <w:br/>
        <w:t>Contributions (…) (…) (…) (…) (…)</w:t>
        <w:br/>
        <w:t>Subsidies (…) (…) (…) (…) /</w:t>
        <w:br/>
        <w:t>Medical Assemblies / / (…) / (…)</w:t>
        <w:br/>
        <w:t>Participations / (…) (…) (…)</w:t>
        <w:br/>
        <w:t>of national unions</w:t>
        <w:br/>
        <w:t>Financial Products (…) (…) / (…) (…)</w:t>
        <w:br/>
        <w:t>Reserves / / (…) / /</w:t>
        <w:br/>
        <w:t>Total 3,320,398.11 520,220.7 594,337.82 536,865.3 592,153.25</w:t>
        <w:br/>
        <w:t>francs or euros euros euros euros</w:t>
        <w:br/>
        <w:t>506,497</w:t>
        <w:br/>
        <w:t>euros</w:t>
      </w:r>
    </w:p>
    <w:p>
      <w:r>
        <w:t>Given the general and individual elements indicated above, a financial penalty of 150,000 euros should be imposed on it.</w:t>
      </w:r>
    </w:p>
    <w:p>
      <w:r>
        <w:t>CSMF</w:t>
      </w:r>
    </w:p>
    <w:p>
      <w:r>
        <w:t>160. It follows from the facts presented in paragraphs 30 to 33 and analyzed in paragraphs 109 to 115 of this decision that this union, for approximately 6 quarters, quickly accompanied the implementation and development of a serious anti-competitive practice causing extremely significant damage to the economy. The financial resources of this union are summarized in the following table:</w:t>
      </w:r>
    </w:p>
    <w:p>
      <w:r>
        <w:rPr>
          <w:b/>
        </w:rPr>
        <w:t>[Pages 37–39]</w:t>
      </w:r>
    </w:p>
    <w:p>
      <w:r>
        <w:t xml:space="preserve">Year 2001 2002 2003 2004 2005  </w:t>
        <w:br/>
        <w:t xml:space="preserve">Membership fees (…) (…) (…) (…) (…)  </w:t>
        <w:br/>
        <w:t xml:space="preserve">Subsidies (…) (…) (…) (…) (…)  </w:t>
        <w:br/>
        <w:t xml:space="preserve">Other income (…) (…) (…) (…) (…)  </w:t>
        <w:br/>
        <w:t xml:space="preserve">Financial income (…) (…) (…) (…) (…)  </w:t>
        <w:br/>
        <w:t xml:space="preserve">Exceptional result / / (…) / (…)  </w:t>
        <w:br/>
        <w:t>Total 1,734,864 1,944,801 1,657,963.5 1,560,000 1,320,921</w:t>
      </w:r>
    </w:p>
    <w:p>
      <w:r>
        <w:t>161. Given the general and individual elements indicated above, a financial penalty of 220,000 euros should be imposed on it.</w:t>
      </w:r>
    </w:p>
    <w:p>
      <w:r>
        <w:t xml:space="preserve">FMF  </w:t>
        <w:br/>
        <w:t xml:space="preserve">162. It follows from the facts presented in paragraphs 34 to 36 and analyzed in paragraphs 116 to 118 of this decision that this union, for approximately 6 quarters, supported the development of a serious anti-competitive practice causing extremely significant damage to the economy. The financial resources of this union, as communicated by it, are summarized in the following table:  </w:t>
        <w:br/>
        <w:t xml:space="preserve">Year 2001 2002 2003 2004 2005  </w:t>
        <w:br/>
        <w:t xml:space="preserve">Other membership fees (…) (…) (…) (…) (…)  </w:t>
        <w:br/>
        <w:t xml:space="preserve">Departmental membership fees / (…) (…) (…)  </w:t>
        <w:br/>
        <w:t xml:space="preserve">Individual membership fees / (…) (…) (…)  </w:t>
        <w:br/>
        <w:t xml:space="preserve">Production from ancillary activities / / / (…)  </w:t>
        <w:br/>
        <w:t xml:space="preserve">Ancillary productions / / (…) (…)  </w:t>
        <w:br/>
        <w:t xml:space="preserve">Miscellaneous income (…) (…) / /  </w:t>
        <w:br/>
        <w:t xml:space="preserve">Subsidies (…) / (…) (…)  </w:t>
        <w:br/>
        <w:t>Total 225,509.36 238,680.02 216,450.91 293,902.14</w:t>
      </w:r>
    </w:p>
    <w:p>
      <w:r>
        <w:t>163. Given the general and individual elements indicated above, a financial penalty of 34,000 euros should be imposed on it.</w:t>
      </w:r>
    </w:p>
    <w:p>
      <w:r>
        <w:t xml:space="preserve">SML  </w:t>
        <w:br/>
        <w:t xml:space="preserve">164. It follows from the facts presented in paragraphs 37 and 38 and analyzed in paragraphs 119 to 121 of this decision that this union, for approximately 8 quarters, supported the development of a serious anti-competitive practice causing extremely significant damage to the economy. The financial resources of this union are summarized in the following table:  </w:t>
        <w:br/>
        <w:t xml:space="preserve">Year 2001 2002 2003 2004 2005  </w:t>
        <w:br/>
        <w:t xml:space="preserve">Membership fees (…) (…) (…) (…) (…)  </w:t>
        <w:br/>
        <w:t xml:space="preserve">Commissions (…) (…) (…) (…) (…)  </w:t>
        <w:br/>
        <w:t xml:space="preserve">Miscellaneous (…) (…) (…) (…) (…)  </w:t>
        <w:br/>
        <w:t xml:space="preserve">Reversions (…) (…) (…) (…) (…)  </w:t>
        <w:br/>
        <w:t>Total 930,041 738,897 730,333 742,292 588,800</w:t>
      </w:r>
    </w:p>
    <w:p>
      <w:r>
        <w:t>165. Given the general and individual elements indicated above, a financial penalty of 135,000 euros should be imposed on it.</w:t>
      </w:r>
    </w:p>
    <w:p>
      <w:r>
        <w:t xml:space="preserve">SYNGOF  </w:t>
        <w:br/>
        <w:t xml:space="preserve">166. It follows from the facts presented in paragraphs 39 to 43 and analyzed in paragraphs 122 to 126 of this decision that this union, for approximately 12 quarters, implemented and developed a serious anti-competitive practice causing very significant damage to the economy (on the order of 20 million euros for the specialty), and that it recommended its members to apply the fee increases it recommended, including to beneficiaries of universal health coverage. The financial resources of this union are summarized in the following table:  </w:t>
        <w:br/>
        <w:t xml:space="preserve">Years 2001 2002 2003 2004 2005  </w:t>
        <w:br/>
        <w:t xml:space="preserve">Membership fees (…) (…) (…) (…) (…)  </w:t>
        <w:br/>
        <w:t xml:space="preserve">Production sold (…) (…) (…) (…) (…)  </w:t>
        <w:br/>
        <w:t xml:space="preserve">Financial products (…) (…) (…) (…) (…)  </w:t>
        <w:br/>
        <w:t>Total 617,496 euros 641,304 euros 667,741 euros 602,937 euros 727,463 euros</w:t>
      </w:r>
    </w:p>
    <w:p>
      <w:r>
        <w:t>167. Given the general and individual elements indicated above, a financial penalty of 200,000 euros should be imposed on it.</w:t>
      </w:r>
    </w:p>
    <w:p>
      <w:r>
        <w:t xml:space="preserve">SNPP  </w:t>
        <w:br/>
        <w:t xml:space="preserve">168. It follows from the facts presented in paragraphs 44 to 50 and analyzed in paragraphs 127 to 130 of this decision that this union, for approximately 11 quarters, implemented and developed a serious anti-competitive practice causing very significant damage to the economy (on the order of 24 million euros for the specialty). The financial resources of this union are summarized in the following tables:  </w:t>
        <w:br/>
        <w:t xml:space="preserve">Year 2001 2002  </w:t>
        <w:br/>
        <w:t xml:space="preserve">Bank reserve (…) (…)  </w:t>
        <w:br/>
        <w:t xml:space="preserve">Cash (…) (…)  </w:t>
        <w:br/>
        <w:t xml:space="preserve">Membership fees (…) (…)  </w:t>
        <w:br/>
        <w:t xml:space="preserve">Miscellaneous income (…) (…)  </w:t>
        <w:br/>
        <w:t>Total 880,913 F or 141,017 euros 134,375.6 euros</w:t>
      </w:r>
    </w:p>
    <w:p>
      <w:r>
        <w:t xml:space="preserve">Year 2003 2004 2005  </w:t>
        <w:br/>
        <w:t xml:space="preserve">Available funds (…) (…) (…)  </w:t>
        <w:br/>
        <w:t xml:space="preserve">Membership fees (…) (…) (…)  </w:t>
        <w:br/>
        <w:t xml:space="preserve">Financial products / (…) (…)  </w:t>
        <w:br/>
        <w:t xml:space="preserve">Exceptional products (…) / /  </w:t>
        <w:br/>
        <w:t>Total 155,585.47 euros 147,456.5 euros 157,592.56 euros</w:t>
      </w:r>
    </w:p>
    <w:p>
      <w:r>
        <w:t>169. Given the general and individual elements indicated above, a financial penalty of 37,000 euros should be imposed on it.</w:t>
      </w:r>
    </w:p>
    <w:p>
      <w:r>
        <w:t xml:space="preserve">SNPF  </w:t>
        <w:br/>
        <w:t>170. It follows from the facts presented in paragraphs 51 to 53 and analyzed in paragraphs 131 to 133 of this decision that this union, for approximately 10 quarters, played an important role in the implementation and development of a serious anti-competitive practice causing very significant damage to the economy (on the order of 7 million euros for the specialty). The financial resources of this union are summarized in the following table:</w:t>
      </w:r>
    </w:p>
    <w:p>
      <w:r>
        <w:rPr>
          <w:b/>
        </w:rPr>
        <w:t>[Pages 40–42]</w:t>
      </w:r>
    </w:p>
    <w:p>
      <w:r>
        <w:t>Year 2001 2002 2003 2004 2005</w:t>
        <w:br/>
        <w:t>Contributions (…) (…) (…) (…) (…)</w:t>
        <w:br/>
        <w:t>Late contributions (…) (…) (…) (…) (…)</w:t>
        <w:br/>
        <w:t>Advertising revenues (…) (…) (…) (…) (…)</w:t>
        <w:br/>
        <w:t>Exceptional revenues / (…) (…) (…) /</w:t>
        <w:br/>
        <w:t>Bank interest / (…) / / /</w:t>
        <w:br/>
        <w:t>Total 91,281.8 136,893 159,928 146,079 245,136</w:t>
        <w:br/>
        <w:t>euros euros euros euros euros</w:t>
        <w:br/>
        <w:t>171. Given the general and individual elements indicated above, it is appropriate to impose a financial penalty of 38,000 euros.</w:t>
      </w:r>
    </w:p>
    <w:p>
      <w:r>
        <w:t>4. ON THE OBLIGATION TO PUBLISH</w:t>
        <w:br/>
        <w:t>172. In order to inform all doctors of the consequences of the practices implemented under the auspices of medical unions by sector I specialist doctors during the period covered by this decision, to raise their awareness of the harmful effects of these practices and their illegality, and finally to dissuade them from repeating them, the condemned unions will publish in the "Quotidien du médecin," at their shared expense pro rata to the financial penalties imposed, the text appearing in the following paragraph of this decision.</w:t>
      </w:r>
    </w:p>
    <w:p>
      <w:r>
        <w:t>173. "Between the end of 2001 and the beginning of 2005, several medical unions disseminated, on varying dates and for varying durations according to the unions, instructions to their members, sector I specialist doctors, recommending them to widely use the right to "exceptional fee overruns" provided for by the minimum conventional regulation in force at the time of these facts in order to obtain, by this means, a significant increase in their conventional fees. Following a complaint from the consumer association "Familles rurales," the Competition Council established that these practices constituted anti-competitive agreements. By organizing the collective and expanded use of each doctor's individual right to exceed conventional rates in cases of exceptional circumstances, these practices severely disrupted the relationships between sector I specialist doctors and their patients, in a market where, according to the legislator's intent, competition among doctors primarily concerns the quality of care offered. These practices indeed increased the payments left to the charge of patients or, possibly, their complementary insurance, by a total amount of approximately 180 million euros. Consequently, the Competition Council imposed the following financial penalties on the medical unions instigating these practices:</w:t>
      </w:r>
    </w:p>
    <w:p>
      <w:r>
        <w:t>• to the Union of Confederated Specialist Doctors (UMESPE) a penalty of 150,000 euros;</w:t>
        <w:br/>
        <w:t>• to the Confederation of French Medical Unions (CSMF) a penalty of 220,000 euros;</w:t>
        <w:br/>
        <w:t>• to the Federation of Doctors of France (FMF) a penalty of 34,000 euros;</w:t>
        <w:br/>
        <w:t>• to the Union of Liberal Doctors (SML) a penalty of 135,000 euros;</w:t>
        <w:br/>
        <w:t>• to the Union of Obstetrician-Gynecologists of France (SYNGOF) a penalty of 200,000 euros;</w:t>
        <w:br/>
        <w:t>• to the National Union of Private Psychiatrists (SNPP) a penalty of 37,000 euros;</w:t>
        <w:br/>
        <w:t>• to the National Union of French Pediatricians (SNPF) a penalty of 38,000 euros.</w:t>
        <w:br/>
        <w:t>The full text of the decision of the Competition Council is available on the website www.conseil-concurrence.fr"</w:t>
      </w:r>
    </w:p>
    <w:p>
      <w:r>
        <w:t>DECISION</w:t>
        <w:br/>
        <w:t>Article 1: There is no need for the Council to examine the grievance notified to the National Confederation of Liberal Doctors' Associations (CNAMLib).</w:t>
        <w:br/>
        <w:t>Article 2: It is established that the Union of Confederated Specialist Doctors (UMESPE), the Confederation of French Medical Unions (CSMF), the Federation of Doctors of France (FMF), the Union of Liberal Doctors (SML), the Union of Obstetrician-Gynecologists of France (SYNGOF), the National Union of Private Psychiatrists (SNPP), the National Union of French Pediatricians (SNPF), have violated the provisions of Article L. 420-1 of the Commercial Code.</w:t>
        <w:br/>
        <w:t>Article 3: The following financial penalties are imposed:</w:t>
        <w:br/>
        <w:t>• to the Union of Confederated Specialist Doctors (UMESPE) a penalty of 150,000 euros;</w:t>
        <w:br/>
        <w:t>• to the Confederation of French Medical Unions (CSMF) a penalty of 220,000 euros;</w:t>
        <w:br/>
        <w:t>• to the Federation of Doctors of France (FMF) a penalty of 34,000 euros;</w:t>
        <w:br/>
        <w:t>• to the Union of Liberal Doctors (SML) a penalty of 135,000 euros;</w:t>
        <w:br/>
        <w:t>• to the Union of Obstetrician-Gynecologists of France (SYNGOF) a penalty of 200,000 euros;</w:t>
        <w:br/>
        <w:t>• to the National Union of Private Psychiatrists (SNPP) a penalty of 37,000 euros;</w:t>
        <w:br/>
        <w:t>• to the National Union of French Pediatricians (SNPF) a penalty of 38,000 euros.</w:t>
      </w:r>
    </w:p>
    <w:p>
      <w:r>
        <w:t>Article 4: The sanctioned organizations will publish at their shared expense pro rata to the financial penalties imposed on them, within three months following the notification of this decision, the text appearing in paragraph 173 of this decision, respecting its formatting, in "Le Quotidien du médecin." This publication will occur in a box with black characters on a white background with a height of at least 5 mm under the following title, in bold characters of the same size: "Decision of the Competition Council no. 08-D-06 of April 2, 2008, regarding union instructions for exceeding conventional rates by sector I specialist doctors." It may be followed by the mention that the decision has been appealed to the Court of Appeal of Paris if such appeals are filed. The concerned organizations will send, by registered mail, to the procedure office of the Competition Council, a copy of this publication, as soon as it is published.</w:t>
      </w:r>
    </w:p>
    <w:p>
      <w:r>
        <w:t>Deliberated on the oral report of Mr. Amiel, by Mr. Nasse, vice-president, presiding over the session, Ms. Mader-Saussaye, Messrs. Bidaud, Combe, Honorat, and Piot, members.</w:t>
        <w:br/>
        <w:t>The secretary of the session, The vice-president,</w:t>
        <w:br/>
        <w:t>Marie-Anselme Liénafa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