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https://www.autoritedelaconcurrence.fr/fr/decision/relative-des-pratiques-anticoncurrentielles-concernant-deux-marches-de-travaux-de</w:t>
      </w:r>
    </w:p>
    <w:p>
      <w:r>
        <w:t>Pages translated : 5</w:t>
      </w:r>
    </w:p>
    <w:p/>
    <w:p>
      <w:r>
        <w:rPr>
          <w:b/>
        </w:rPr>
        <w:t>[Pages 1–3]</w:t>
      </w:r>
    </w:p>
    <w:p>
      <w:r>
        <w:t>FRENCH REPUBLIC</w:t>
        <w:br/>
        <w:t>Decision No. 03-D-34 of July 9, 2003</w:t>
        <w:br/>
        <w:t>regarding anti-competitive practices concerning two contracts</w:t>
        <w:br/>
        <w:t>for earthworks and road construction in Gironde</w:t>
        <w:br/>
        <w:t>The Competition Council (permanent commission);</w:t>
        <w:br/>
        <w:t>Having regard to the letter registered on February 9, 1998, under number F 1023, by which the Minister of Economy, Finance and Industry referred to the Competition Council practices implemented during the awarding of two public contracts for earthworks and road construction in the department of Gironde;</w:t>
        <w:br/>
        <w:t>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br/>
        <w:t>Having regard to the observations presented by the Government Commissioner;</w:t>
        <w:br/>
        <w:t>Having regard to Decision No. 02-S-02 of September 4, 2002;</w:t>
        <w:br/>
        <w:t>Having regard to the other documents in the file;</w:t>
        <w:br/>
        <w:t>The rapporteur, the deputy general rapporteur, and the Government Commissioner heard during the session of May 14, 2003;</w:t>
        <w:br/>
        <w:t>Adopts the decision based on the findings (I) and the reasons (II) as follows:</w:t>
        <w:br/>
        <w:t>I. - Findings</w:t>
        <w:br/>
        <w:t>A. – THE CONTRACTS CONCERNED BY THE REFERRAL</w:t>
        <w:br/>
        <w:t>The contract for the development of the A 660 motorway between Mios and Le Teich</w:t>
        <w:br/>
        <w:t>1. The purpose of the consultation was for the upgrading to 2 x 2 lanes of the A 660-RN 250 motorway, on the Mios–Le Teich section. The regulations specified that the contract would be concluded either with a single company or with jointly liable grouped companies and allowed for technical variants that could only concern compliance with the longitudinal profile and the materials composing the base layer of the roadway.</w:t>
        <w:br/>
        <w:t>2. A notice of call for competition was published in the BOAMP on November 17, 1995, setting the deadline for submission of bids to December 27, 1995, at 4 p.m.</w:t>
        <w:br/>
        <w:t>3. The contract was launched in the form of an open tender without options. The consultation regulations indicated that the criteria for evaluating the bids would be examined in descending order as follows: price of services, technical value of services, execution time, cost of use of services. The bid evaluation committee met on January 5, 1996, and rejected 4 non-compliant bids due to insufficient qualifications and references as well as the low turnover of the companies concerned in relation to the amount of the tender. Eleven companies submitted regular bids.</w:t>
      </w:r>
    </w:p>
    <w:p>
      <w:r>
        <w:t>4. The only variant offer, submitted by the consortium of companies Moter/Screg, was not accepted, as the DDE considered that the composition and characteristics of the proposed material were unsuitable. The bid opening committee decided to accept the base proposal from the Moter/Screg consortium, which was the lowest bid at an amount of 18,748,067.41 F (2,858,124.45 €) including tax. The company Moter was designated as the representative, and the work was to be carried out using a mobile asphalt plant owned by the company Screg. The consortium's commitment document included an annex providing for the subcontracting of part of the contract to the company CMR, for an amount of 3,000,000 F (457,347.05 €) including tax.</w:t>
        <w:br/>
        <w:t>The contract related to the expansion to 2 x 3 lanes of the Bordeaux metropolitan ring road, section Franck / A 62</w:t>
        <w:br/>
        <w:t>5. The consultation concerned 5 lots listed as follows: earthworks - drainage - roadways, extruded concrete, civil engineering, horizontal signage, protection by transposable concrete barriers. The administrative investigation focused solely on the first lot.</w:t>
        <w:br/>
        <w:t>6. The public call for competition notice, published in the BOAMP on January 24, 1996, provided for the submission of bids by March 20, 1996. The consultation regulations indicated that the contract was launched in the form of an open tender, without options or variants.</w:t>
        <w:br/>
        <w:t>7. The bid evaluation committee met on March 27, 1996, and examined the bids from four consortiums: the consortium of companies Screg, SCR, Sanz, Colas, and Malet, that of companies Moter and Lefèbvre, that of companies Cochery and Fayard, and that of companies Beugnet, Viafrance, and Sacer. The first consortium, which submitted the lowest bid of 26,585,191 F (4,052,886.24 €), won the contract, with the Moter/Lefebvre consortium coming in second.</w:t>
      </w:r>
    </w:p>
    <w:p>
      <w:r>
        <w:t>B. – THE DENOUNCED PRACTICES</w:t>
        <w:br/>
        <w:t>Regarding the A660 market between Mios and Le Teich</w:t>
        <w:br/>
        <w:t>8. The investigation report notes that the differences between the bids of the seven leading consortiums are 1.2, 0.9, 0.8, 0.9, 0.8, 0.6, 3.7, and 3.8%, which "would have a relatively constant character close to 1%, at least among the seven leading consortiums," and this "even though the estimated budget and the price schedule contain 50 different prices." It also notes that only the lowest bidding consortium that won the contract had submitted a variant and that only three of the eleven bidding consortiums had proposed reduced execution times (3.5 months compared to 4 months for the others). It further emphasizes that the prices contained in the schedule and the estimated detail were more precise for the lowest bidder than for the other bidders ("the Moter/Screg consortium is the only one to make very precise price proposals (50% of bids containing a digit after the decimal point) compared to the other bidders who all submitted prices, in 10 out of 50 cases, very rounded. However, the awarding consortium only ranked as the lowest bidder 6 times out of 50") and that these prices deviated only slightly from the administrative estimate. The investigation report finally denounces the fact that the lowest bidding consortium subcontracted nearly half of the execution of the contract to the companies forming the consortium that ranked immediately behind it in the tender (Beugnet and EJL) and that the subcontracting proposal dated from the day of the bid evaluation committee meeting for the contract for the expansion of the Bordeaux ring road.</w:t>
      </w:r>
    </w:p>
    <w:p>
      <w:r>
        <w:t>Regarding the first lot of the contract for the expansion to 2 x 3 lanes of the Bordeaux metropolitan ring road</w:t>
        <w:br/>
        <w:t>9. The investigation report notes a parallelism in the unit prices of the bidders, with some series of prices being overestimated while others were underestimated compared to the administrative estimate. Thus, price series no. 1 ("general site services") includes, for a total estimate of 1,050,000 F (160,071.47 €), bids ranging from 3,530,000 F (538,145 €) to 4,340,000 F (661,628.73 €) and, more specifically, the items "site installation" and "preparation and maintenance," estimated at 350,000 F (53,357 €) and 200,000 F (30,489.80 €) respectively, are subject to bids ranging from 1,950,000 F (297,276 €) to 2,700,000 F (411,612.35 €) for the first, and between 500,000 F (76,225 €) and 825,000 F (125,770 €) for the second, which are prices significantly higher than the administrative estimate. Conversely, price series no. 5 reveals prices significantly lower than the administrative estimate, from 2,097,810 F (319,809 €) to 2,522,000 F (384,476.42 €) for an estimate of 3,250,000 F (495,459.31 €) for price 5.04b, from 2,390,000 F (364,353 €) to 2,670,000 F (407,038.88 €) for an estimate of 3,200,000 F (487,836.86 €) for price 5.05. It also notes that only the lowest bidder submitted a variant offer.</w:t>
        <w:br/>
        <w:t>10. The investigation report further states that the consortium of companies Screg/SCR Sanz/Colas/Malet, which won the contract, modified its service by using the fixed processing plant "Bordelaise de Matériaux Enrobés," whereas the submission had been based on a mobile plant. According to the investigation report, "the consortium proposed not to install a mobile asphalt plant (…) by substituting for bituminous aggregates and recycled asphalt materials produced from a fixed plant in the Bordeaux agglomeration." In this regard, the head of the Colas establishment states: "for the Bordeaux ring road contract, we examined various solutions: mobile station and fixed station. As we opted for the fixed BME solution and the production of this station was going to be blocked, we decided to form a consortium of companies based on the main composition of BME (...)".</w:t>
        <w:br/>
        <w:t>11. Furthermore, the investigation report notes that "the composition of the bidding consortiums is (…) directly linked to the participation of their members in the capital of the asphalt plants."</w:t>
        <w:br/>
        <w:t>12. Finally, taking into account the subcontracting, the execution modalities of these two contracts would lead, according to the same report, to a distribution among the concerned companies very close to the respective weight of the large national construction groups to which they belong, in all the works carried out in the department between 1993 and 1995.</w:t>
        <w:br/>
        <w:t>13. The administrative investigation concludes that all these elements, combined with those of the A 660 contract, constitute a body of evidence revealing a concerted action among public works companies to carry out a geographical distribution of contracts taking into account the respective market shares of each of them.</w:t>
        <w:br/>
        <w:t>Based on the preceding findings, the rapporteur proposed to the Council to declare a lack of grounds.</w:t>
        <w:br/>
        <w:t>II. – Discussion</w:t>
        <w:br/>
        <w:t>14. Article L. 464-6 of the Commercial Code states: "When no practice likely to harm competition in the market is established, the Competition Council may decide, after the author of the referral and the Government Commissioner have been...</w:t>
      </w:r>
    </w:p>
    <w:p>
      <w:r>
        <w:rPr>
          <w:b/>
        </w:rPr>
        <w:t>[Pages 4–5]</w:t>
      </w:r>
    </w:p>
    <w:p>
      <w:r>
        <w:t xml:space="preserve">a non-suit.  </w:t>
        <w:br/>
        <w:t xml:space="preserve">II. – Discussion  </w:t>
        <w:br/>
        <w:t xml:space="preserve">14. Article L. 464-6 of the Commercial Code states: "When no practice likely to harm competition in the market is established, the Competition Council may decide, after the author of the referral and the Government Commissioner have been able to consult the file and present their observations, that there is no reason to continue the procedure."  </w:t>
        <w:br/>
        <w:t xml:space="preserve">Regarding the A 660 market between Mios and Le Teich  </w:t>
        <w:br/>
        <w:t xml:space="preserve">15. The characteristics of the offers noted in the investigation report (price discrepancies, varying degrees of offer precision) are not of such a nature that they cannot be explained other than by a scenario of information exchanges with the designation of the contract awardee prior to the submission of offers and the presentation of cover offers by other bidders.  </w:t>
        <w:br/>
        <w:t xml:space="preserve">16. Furthermore, no element of the file allows for the presumption that there is a link between the A 660 market and that of the peripheral ring road and that the concurrence, noted by the Government Commissioner in his observations, between the subcontracting proposal on the first market and the meeting of the bid evaluation committee of the second market, is not the result of a mere coincidence. Finally, in the absence of any element tending to demonstrate an exchange of information with anti-competitive intent or effect prior to the submission of offers, the extensive recourse to subcontracting by the company that won the contract cannot in itself constitute proof that the companies involved colluded prior to the submission of their offers to designate the future holder of the contract.  </w:t>
        <w:br/>
        <w:t xml:space="preserve">Regarding the practices noted on the first lot of the contract for the expansion to 2 x 3 lanes of the Bordeaux metropolitan ring road  </w:t>
        <w:br/>
        <w:t xml:space="preserve">17. The elements of the file do not allow for the gathering of a set of serious, precise, and consistent indicators capable of establishing that the companies involved colluded prior to the submission of offers with a view to designating the contract holder.  </w:t>
        <w:br/>
        <w:t xml:space="preserve">18. Firstly, the fact that only one company, the company Screg, proposed a variant compared to its main offer cannot be considered indicative of anti-competitive collusion.  </w:t>
        <w:br/>
        <w:t xml:space="preserve">19. Secondly, it is established case law (see, in particular, Paris Court of Appeal, February 18, 2003, SA Lyonnaise des Eaux France) that parallel behavior may result from identical but independent decisions made by companies naturally adapting to the same context in the same market. In this case, the fact that, in the offers submitted by the companies, certain series of prices related to site installation and preparation are, in parallel, higher or lower than the estimate of the contracting authority could be explained by an evaluation error affecting this estimate, as argued by the companies in question, a thesis that no element of the file allows to reject.  </w:t>
        <w:br/>
        <w:t xml:space="preserve">20. Thirdly, the circumstance that the consortium Screg//SCR Sanz/Colas/Malet, the contract awardee, successively considered using a mobile plant due to the unavailability of the fixed plant of which its members were shareholders, and then modified its offer for a fixed plant, cannot be analyzed as indicative of anti-competitive collusion, as these are common decisions made within the normal functioning of the consortium. Similarly, the fact that this consortium brings together the shareholders of the fixed plant provides a technical justification for the formation of said consortium and does not indicate that it aimed, or had the potential effect, of eliminating competition.  </w:t>
        <w:br/>
        <w:t xml:space="preserve">21. Finally, the reported correspondences between the shares taken in the two markets by the companies Screg and Colas, SCR Sanz, Beugnet, Malet, Jean Lefebvre, and Moter and the shares of the respective groups to which these companies belonged, in the works carried out in the Gironde department during the years 1993, 1994, and 1995, do not allow for any conclusion other than that of a relative stability of the market shares of the concerned groups, which, in the absence of any other indicator, does not allow for the establishment of the existence of collusion aimed at the distribution of markets.  </w:t>
        <w:br/>
        <w:t xml:space="preserve">22. It follows from the above that it is appropriate to apply Article L. 464-6 of the Commercial Code.  </w:t>
        <w:br/>
        <w:t xml:space="preserve">DECISION  </w:t>
        <w:br/>
        <w:t xml:space="preserve">Single Article: There is no reason to continue the procedure.  </w:t>
        <w:br/>
        <w:t xml:space="preserve">Deliberated on the oral report of Mr. Fontaine, by Mrs. Pasturel, Vice-President, Mr. Nasse, Vice-President, Mr. Robin, Member.  </w:t>
        <w:br/>
        <w:t xml:space="preserve">The session secretary, The Vice-President,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