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https://www.autoritedelaconcurrence.fr/fr/decision/relative-des-pratiques-anticoncurrentielles-concernant-le-marche-de-la-chambre-regionale</w:t>
      </w:r>
    </w:p>
    <w:p>
      <w:r>
        <w:t>Pages translated : 2</w:t>
      </w:r>
    </w:p>
    <w:p/>
    <w:p>
      <w:r>
        <w:rPr>
          <w:b/>
        </w:rPr>
        <w:t>[Pages 1–2]</w:t>
      </w:r>
    </w:p>
    <w:p>
      <w:r>
        <w:t xml:space="preserve">FRENCH REPUBLIC  </w:t>
        <w:br/>
        <w:t xml:space="preserve">Decision No. 91-D-10 of March 12, 1991  </w:t>
        <w:br/>
        <w:t>concerning anti-competitive practices related to the market of the regional chamber of accounts and various other works markets in the Champagne-Ardenne region</w:t>
      </w:r>
    </w:p>
    <w:p>
      <w:r>
        <w:t>Having regard to the letter, registered on February 11, 1988, under number F 138, by which the Minister of State, Minister of Economy, Finance, and Budget, referred to the Competition Council a file concerning anti-competitive practices observed in the market of the regional chamber of accounts and various other works markets in the Champagne-Ardenne region;</w:t>
      </w:r>
    </w:p>
    <w:p>
      <w:r>
        <w:t>Having regard to Ordinance No. 86-1243 of December 1, 1986, relating to the freedom of prices and competition, as amended, together with Decree No. 86-1309 of December 29, 1986, as amended, adopted for its application;</w:t>
      </w:r>
    </w:p>
    <w:p>
      <w:r>
        <w:t xml:space="preserve">Having regard to the observations of the Government Commissioner;  </w:t>
        <w:br/>
        <w:t xml:space="preserve">Having regard to the other documents in the file;  </w:t>
        <w:br/>
        <w:t>The rapporteur, the general rapporteur, and the Government Commissioner heard;</w:t>
      </w:r>
    </w:p>
    <w:p>
      <w:r>
        <w:t>Considering that, ruling on the appeal filed by the non-collective company Sogea-Est, the Court of Cassation, by a judgment No. 1354-D of November 20, 1990, annulled the order of June 19, 1987, by which the president of the High Court of Reims had authorized visits and seizures in the premises of the companies S.N.R.D., S.A. Thouraud, S.A. Citra, S.A. Rontaix, S.A. l'Entreprise Industrielle, S.A. Fourre et Rhodes, S.A.R.L. S.N.C.P., S.A. La Felletinoise, S.A. Parisienne d'Entreprise and S.N.C. Sogea-Est; that this annulment, due to the indivisible nature of the decision that is the subject of it, extends not only to the visits and seizures carried out in the premises of the company that filed the appeal but also to those that took place in the premises of the other companies designated by the order;</w:t>
      </w:r>
    </w:p>
    <w:p>
      <w:r>
        <w:t>Considering, therefore, that the irregularly seized documents cannot be retained as evidence of the consultations noted in the administrative investigation report and that the documents seized at the headquarters of the aforementioned companies must be separated; that the minutes of hearings and the supplementary documents communicated during the investigation, as they refer directly or indirectly to the content of the irregularly seized documents, cannot be used any further; that thus the minutes of hearings of the representatives of the visited companies, established after the seizures, must also be separated;</w:t>
      </w:r>
    </w:p>
    <w:p>
      <w:r>
        <w:t>Considering that the only documents remaining in the file do not contain elements allowing the proof of consultations to be established; that it is therefore appropriate to apply the provisions of Article 20 of the aforementioned ordinance of December 1, 1986,</w:t>
      </w:r>
    </w:p>
    <w:p>
      <w:r>
        <w:t xml:space="preserve">Decides:  </w:t>
        <w:br/>
        <w:t>Sole Article. - There is no need to continue the proceedings.</w:t>
      </w:r>
    </w:p>
    <w:p>
      <w:r>
        <w:t xml:space="preserve">Deliberated in permanent commission on the oral report of Mr. Thouvenot (B.), replacing Mr. Weber (A.P.) who was unable to attend, in its session of March 12, 1991, where were present:  </w:t>
        <w:br/>
        <w:t xml:space="preserve">Mr. Laurent, president;  </w:t>
        <w:br/>
        <w:t>Messrs. Béteille and Pineau, vice-presidents.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