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https://www.autoritedelaconcurrence.fr/fr/decision/relative-des-pratiques-anticoncurrentielles-mises-en-oeuvre-dans-le-reseau-de-distribution</w:t>
      </w:r>
    </w:p>
    <w:p>
      <w:r>
        <w:t>Pages translated : 2</w:t>
      </w:r>
    </w:p>
    <w:p/>
    <w:p>
      <w:r>
        <w:rPr>
          <w:b/>
        </w:rPr>
        <w:t>[Pages 1–2]</w:t>
      </w:r>
    </w:p>
    <w:p>
      <w:r>
        <w:t>Decision No. 02-D-20 of March 14, 2002</w:t>
        <w:br/>
        <w:t>regarding anti-competitive practices implemented</w:t>
        <w:br/>
        <w:t>in the distribution network of the company Fichet-Bauche</w:t>
        <w:br/>
        <w:t>The Competition Council (standing committee),</w:t>
        <w:br/>
        <w:t>Having regard to the letter registered on July 12, 1995, under number F 778, by which the Minister of Economy referred to the Competition Council practices implemented by the company Fichet-Bauche in its distribution network;</w:t>
        <w:br/>
        <w:t>Having regard to Book IV of the Commercial Code relating to the freedom of prices and competition and Decree No. 86-1309 of December 29, 1986, as amended, adopted for the application of Ordinance No. 86-1243 of December 1, 1986;</w:t>
        <w:br/>
        <w:t>Having regard to the observations presented by the Government Commissioner;</w:t>
        <w:br/>
        <w:t>Having regard to the other documents in the file;</w:t>
        <w:br/>
        <w:t>The rapporteur, the deputy general rapporteur, and the Government Commissioner heard during the session of December 19, 2001;</w:t>
        <w:br/>
        <w:t>Considering that the Minister of Economy denounces, in his referral dated July 12, 1995, the anti-competitive nature of certain clauses in the privileged supply contracts as well as the contracts binding the company Fichet-Bauche to the authorized Fichet installers and the Points Forts;</w:t>
        <w:br/>
        <w:t>Considering that a supplementary investigation report, sent to the President of the Competition Council on October 1, 1996, notes the improvements made in the new organization and does not report the perpetuation of anti-competitive practices;</w:t>
        <w:br/>
        <w:t>Considering that, by letter dated July 10, 1998, the rapporteur requested additional information from the company Fichet regarding the new organization of its network and that this information was sent to the Council on August 28, 1998; that no action aimed at the investigation, establishment, or sanction of the practices referred to in Articles L. 420-1 and L. 420-2 of the Commercial Code has subsequently been initiated;</w:t>
        <w:br/>
        <w:t>Considering that Article L. 462-7 of the Commercial Code states: "The Competition Council cannot be seized of facts dating back more than three years if no action has been taken to investigate, establish, or sanction them";</w:t>
      </w:r>
    </w:p>
    <w:p>
      <w:r>
        <w:t>Considering that the Government Commissioner argues that he found himself unable to act to carry out an interruptive act of prescription and that the period provided for in the aforementioned article has been suspended in his regard; that the reasoning of the ruling of the Court of Cassation dated July 17, 2001, which annulled a ruling of the Paris Court of Appeal dated March 9, 1999, which had accepted the principle of the suspension of the prescription regarding the seizing company, placed in the impossibility of acting in the ongoing procedure before the Council, does not apply to the case of a referral from the Minister because he, unlike the seizing companies or other legal entities, lacks any alternative means to protect the public economic order affected by anti-competitive practices;</w:t>
        <w:br/>
        <w:t>But considering that, seized of a ruling of the Paris Court of Appeal, rendered on October 12, 1999, which held that the prescription period was suspended regarding the Minister insofar as, as the seizing party under Article 11 of the ordinance, the Director General of Competition, Consumer Affairs, and Fraud Control was placed in the impossibility of acting to execute an interruptive act in the ongoing procedure before the Competition Council, the Court of Cassation, by a ruling dated February 26, 2002, considered "that by ruling thus, by adding to the cited text a case of suspension of the prescription that it does not foresee, the Court of Appeal violated it" and pronounced the annulment of this ruling;</w:t>
        <w:br/>
        <w:t>Considering that in this case, since July 10, 1998, the date of the last investigative act carried out, more than three years have elapsed without the course of the prescription being interrupted by an act aimed at the investigation, establishment, or sanction of the reported facts; that the prescription being thus acquired, in application of Article L. 462-7 of the Commercial Code, it is appropriate to state that there is no need to continue the procedure;</w:t>
        <w:br/>
        <w:t>DECIDES</w:t>
        <w:br/>
        <w:t>Sole Article - There is no need to continue the procedure.</w:t>
        <w:br/>
        <w:t>Deliberated, on the oral report of Mr. Muller, by Ms. Hagelsteen, President, Ms. Pasturel and Mr. Nasse, Vice-Presidents.</w:t>
        <w:br/>
        <w:t>The session secretary, The President,</w:t>
        <w:br/>
        <w:t>Anne Frédéric-Moreau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