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https://www.autoritedelaconcurrence.fr/fr/decision/relative-des-pratiques-anticoncurrentielles-relevees-dans-le-secteur-du-traitement-de</w:t>
      </w:r>
    </w:p>
    <w:p>
      <w:r>
        <w:t>Pages translated : 3</w:t>
      </w:r>
    </w:p>
    <w:p/>
    <w:p>
      <w:r>
        <w:rPr>
          <w:b/>
        </w:rPr>
        <w:t>[Pages 1–3]</w:t>
      </w:r>
    </w:p>
    <w:p>
      <w:r>
        <w:t>COMPETITION COUNCIL</w:t>
        <w:br/>
        <w:t>Decision No. 01-D-69 of October 17, 2001</w:t>
        <w:br/>
        <w:t>regarding anti-competitive practices identified</w:t>
        <w:br/>
        <w:t>in the asbestos treatment sector</w:t>
        <w:br/>
        <w:t>The Competition Council (permanent commission),</w:t>
        <w:br/>
        <w:t>Considering the letter dated March 20, 1997, registered under number F 951, by which the Minister Delegate for Finance and Foreign Trade referred to the Competition Council practices deemed anti-competitive in the asbestos treatment sector;</w:t>
        <w:br/>
        <w:t>Considering Book IV of the Commercial Code relating to price freedom and competition and Decree No. 86-1309 of December 29, 1986, as amended, setting the conditions for the application of Ordinance No. 86-1243 of December 1, 1986;</w:t>
        <w:br/>
        <w:t>Considering the decision of the Competition Council No. 00-D-29 dated July 5, 2000;</w:t>
        <w:br/>
        <w:t>Considering the observations presented by the company Heckett-Multiserv and the Government Commissioner;</w:t>
        <w:br/>
        <w:t>Considering the other documents in the file;</w:t>
        <w:br/>
        <w:t>The rapporteur, the deputy general rapporteur, the Government Commissioner, and the representative of the company Heckett-Multiserv heard during the session of July 25, 2001, the representative of the company TI-France having been regularly summoned;</w:t>
        <w:br/>
        <w:t>Adopts the decision based on the findings (I) and the reasons (II) set out below;</w:t>
        <w:br/>
        <w:t>I. - Findings</w:t>
        <w:br/>
        <w:t>By decision No. 00-D-29 dated July 5, 2000, the Competition Council suspended its ruling on a grievance of cover bidding, initially notified to the companies TI-France and ATMF, with a view to implicating the company Heckett-Multiserv SA in place of the company ATMF;</w:t>
        <w:br/>
        <w:t>In a fax dated January 12, 1994, Mr. de Logivière, president of the company TI-France, wrote to Mr. Louichi, commercial director of Heckett-Multiserv: "We are being consulted by the company D.G. Construction (...) for the asbestos removal and degreasing of 30 meters of hot air ducts on a Stein furnace, work to be carried out next year. I leave it to you to discreetly pass the information to your local agency. Give me your price, I will cover you."</w:t>
        <w:br/>
        <w:t>When questioned about this letter, Mr. de Logivière acknowledged the facts during his hearing on November 19, 1996:</w:t>
      </w:r>
    </w:p>
    <w:p>
      <w:r>
        <w:t>"Multiserv is specialized in steelworks. I was consulted on a subcontracting basis by a demolition company to which I wished to respond. Given the nature of the client Sollac, I wanted to submit a price but not win the contract, for which I was not qualified. To my knowledge, the matter did not proceed."</w:t>
        <w:br/>
        <w:t>In fact, the company D.G. Construction did not obtain the contract in question, according to its current manager. On these grounds, the grievance of cover bidding was the subject of an additional notification on August 2, 2000, addressed to the companies TI-France and Heckett-Multiserv;</w:t>
        <w:br/>
        <w:t>They are thus accused of having, in January 1994, colluded on the amount of responses to a bid concerning a subcontracting contract, a practice prohibited by Article 7 of Ordinance No. 86-1243 of December 1, 1986, which became Article L 420-1 of the Commercial Code;</w:t>
        <w:br/>
        <w:t>II. - Based on these findings, the Council,</w:t>
        <w:br/>
        <w:t>Considering that the Government Commissioner argues, in his written observations, that despite the awarding of the contract to a third company, the grievance of collusion is established, the company TI-France having submitted a principle offer, after informing the company Heckett-Multiserv of its intention, by a fax of January 12, 1994;</w:t>
        <w:br/>
        <w:t>Considering, however, that none of the documents in the file provide proof that the company Heckett-Multiserv provided the company TI-France with information on the amount of the offer that it would have been willing to make, nor of the existence of an actual submission by the company Heckett-Multiserv for the contract in question;</w:t>
        <w:br/>
        <w:t>Considering that the sending, by the company TI-France, of the fax of January 12, 1994, cannot, by itself and in the absence of evidence of the adherence of at least one other company to this practice, suffice to characterize a collusion between companies capable of materializing an illicit agreement;</w:t>
        <w:br/>
        <w:t>Considering, finally, that, during the session of July 25, 2001, the chairman and CEO of the company Heckett-Multiserv indicated that at the time of the alleged facts, his company had already separated from its asbestos removal activity in French territory;</w:t>
        <w:br/>
        <w:t>Considering, therefore, that it is not established that the companies TI-France and Heckett-Multiserv engaged in anti-competitive practices in connection with the subcontracting contract in question; that it is necessary to apply Article L. 464-6 of the Commercial Code.</w:t>
        <w:br/>
        <w:t>DECIDES</w:t>
        <w:br/>
        <w:t>Sole Article. - There is no need to continue the proceedings.</w:t>
        <w:br/>
        <w:t>Deliberated, on the oral report of Mr. Muller, by Ms. Hagelsteen, president, Mr. Cortesse, vice-president, and</w:t>
      </w:r>
    </w:p>
    <w:p>
      <w:r>
        <w:t>Ms. Pasturel, vice-president.</w:t>
        <w:br/>
        <w:t>The session secretary, The president,</w:t>
        <w:br/>
        <w:t>Françoise Hazaël-Massieux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