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https://www.autoritedelaconcurrence.fr/fr/decision/relative-des-pratiques-constatees-dans-le-secteur-de-la-marbrerie-funeraire-de-la-region</w:t>
      </w:r>
    </w:p>
    <w:p>
      <w:r>
        <w:t>Pages translated : 5</w:t>
      </w:r>
    </w:p>
    <w:p/>
    <w:p>
      <w:r>
        <w:rPr>
          <w:b/>
        </w:rPr>
        <w:t>[Pages 1–3]</w:t>
      </w:r>
    </w:p>
    <w:p>
      <w:r>
        <w:t xml:space="preserve">FRENCH REPUBLIC  </w:t>
        <w:br/>
        <w:t xml:space="preserve">Decision No. 92-D-33 of May 6, 1992  </w:t>
        <w:br/>
        <w:t xml:space="preserve">regarding observed practices in the funeral masonry sector  </w:t>
        <w:br/>
        <w:t>of the Toulouse region</w:t>
      </w:r>
    </w:p>
    <w:p>
      <w:r>
        <w:t xml:space="preserve">The Competition Council (permanent commission),  </w:t>
        <w:br/>
        <w:t xml:space="preserve">Having regard to the letter registered on April 3, 1991, under number F 404, by which the Minister of State, Minister of Economy, Finance, and Budget, referred to the Competition Council practices observed in the funeral masonry sector of the Toulouse region;  </w:t>
        <w:br/>
        <w:t xml:space="preserve">Having regard to Ordinance No. 86-1243 of December 1, 1986, relating to price freedom and competition, as amended, together with Decree No. 896-1309 of December 29, 1986, as amended, taken for its application;  </w:t>
        <w:br/>
        <w:t xml:space="preserve">Having regard to the procedure initiated on February 4, 1992, pursuant to the provisions of Article 22 of Ordinance No. 86-1243;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Adopts the decision based on the findings (I) and the reasons (II) set out below.</w:t>
      </w:r>
    </w:p>
    <w:p>
      <w:r>
        <w:t xml:space="preserve">I. - FINDINGS  </w:t>
        <w:br/>
        <w:t xml:space="preserve">A. - The activity of funeral masons  </w:t>
        <w:br/>
        <w:t xml:space="preserve">It is dedicated to 'vaults, monuments, and tombs' which, under Articles L. 301-12 and following of the Code of Municipalities, may be constructed on the 'concessions' that municipalities may grant in their cemeteries 'to persons who wish to have a distinct and separate place to establish their burial and that of their children or successors.'  </w:t>
        <w:br/>
        <w:t>The services provided by funeral masons are not included in those referred to as the 'external service of funeral operations' which, under Article L. 362-1 of the aforementioned Code, 'belongs to municipalities, as a public service.' These are referred to as 'free' services, and families holding a concession therefore have the option to contact the mason of their choice to carry out operations related to their funeral monuments.</w:t>
      </w:r>
    </w:p>
    <w:p>
      <w:r>
        <w:t xml:space="preserve">The activity of funeral masons in the Toulouse region, who no longer manufacture the monuments they supply themselves, includes three branches:  </w:t>
        <w:br/>
        <w:t xml:space="preserve">- the supply and installation of monuments purchased externally;  </w:t>
        <w:br/>
        <w:t xml:space="preserve">- the maintenance of tombs (cleaning, sanding, repairs), engraving of inscriptions, supply of accessories;  </w:t>
        <w:br/>
        <w:t>- the work and services related to the opening and closing of funeral monuments on the occasion of burials or, if applicable, exhumations.</w:t>
      </w:r>
    </w:p>
    <w:p>
      <w:r>
        <w:t xml:space="preserve">B. - Observed practices  </w:t>
        <w:br/>
        <w:t xml:space="preserve">Two documents were sent in 1988 to funeral masons in the Toulouse region. These documents concern the work and services related to the opening and closing of funeral monuments.  </w:t>
        <w:br/>
        <w:t xml:space="preserve">The first, which originates from the Chamber of Small Building Enterprises of Haute-Garonne (known as C.A.P.E.B. 31), a professional union grouping together certain funeral masonry companies in the Toulouse region, contains an evaluation (in the form of a sort of invoice template) of the hours of labor dedicated to the operations of opening and closing different types of monuments (high vault, low vault, tomb) as well as travel expenses (urban cemetery, suburban or rural cemetery). Regarding these travel expenses, the document includes, on the one hand, an evaluation of the time spent on travel and, on the other hand, an evaluation in francs of the depreciation costs of the vehicle and various (150 F if it is an urban cemetery, 300 F if it is a suburban or rural cemetery).  </w:t>
        <w:br/>
        <w:t xml:space="preserve">This document was established by the bureau of the 'masonry' section of C.A.P.E.B. 31 during its meeting on April 12, 1988, and was sent to the members of this section by its president. This 'masonry' section of C.A.P.E.B. 31 does not itself have legal personality.  </w:t>
        <w:br/>
        <w:t xml:space="preserve">The second document is on the letterhead of a 'trade union organization of stone professionals of the Midi-Pyrénées region.' It is titled 'Results of the work of the study commission on the time spent on various service provisions of the profession' and bears the following mentions: 'Composition of the commission: Messrs. Denoi, Escourbiac (André), Facchini, Pardo, and Hernandez.  </w:t>
        <w:br/>
        <w:t xml:space="preserve">'Meeting of June 9, 1988.'  </w:t>
        <w:br/>
        <w:t xml:space="preserve">It contains six invoice templates, which are presented as 'case studies' and concern operations of opening and closing funeral monuments; removal and reinstatement of a tomb on a concrete slab, opening and closing of a low vault (tombstone), opening and closing of a high vault (door). It also presents a section titled: 'Time spent on various works,' relating to operations of transporting debris during the demolition of a tomb, sawing and placing iron bars in a vault, sawing and placing boards, installing scaffolding, and drilling holes for fixing iron bars.  </w:t>
        <w:br/>
        <w:t>The evaluation of labor hours is accompanied by calculations that reveal, on the one hand, a price excluding tax (95 F) per hour, and on the other hand, flat-rate evaluations of the price to be charged for the use of a vehicle, and finally, a coefficient (1.70) to be used for billing from the purchase price for the iron bars and boards used.</w:t>
      </w:r>
    </w:p>
    <w:p>
      <w:r>
        <w:t xml:space="preserve">Mr. François Pardo, who led the commission, the composition of which is indicated in the aforementioned document, personally submitted this document in November 1988 to the Departmental Directorate of Competition, Consumer Affairs, and Fraud Control of Haute-Garonne, which did not make any observations.  </w:t>
        <w:br/>
        <w:t xml:space="preserve">The organization known as the 'Trade Union Organization of Stone Professionals of the Midi-Pyrénées Region' manifested itself primarily in the following manner: after an initial meeting of 'stone professionals,' which took place on January 21, 1988, at the initiative of Mr. François Pardo, who had resigned in 1987 from C.A.P.E.B. 31, and where a 'resolution' was voted aiming at the creation of an 'independent union of stone professionals,' a general assembly convened on March 4, 1988. The participants elected a bureau, which was to be responsible for the filing of the statutes and the opening of a bank account, and decided that the new union would take the title of 'Trade Union Organization of Stone Professionals of the Midi-Pyrénées Region.' During the same assembly, Mr. Pardo defined the various objectives of the union for 1988 and indicated in particular: 'The study undertaken on the time spent on funeral service provisions will continue.' The results of this study were on the agenda of a meeting held on June 24, 1988. However, this meeting of June 24, 1988, seems to have been the last, and the new union, which did not file statutes and did not collect the few contributions paid, ceased all activity in October 1988.  </w:t>
        <w:br/>
        <w:t>Subsequent to the dissemination of the aforementioned documents, several funeral masonry companies in the Toulouse region increased their prices for the operations of opening and closing funeral monuments. One of the professionals concerned, who had modified the pricing of his services in June 1988, specified: 'These increases result from a study by my accountant (...) based on the time studies carried out by C.A.P.E.B. 31 in April 1988.'</w:t>
      </w:r>
    </w:p>
    <w:p>
      <w:r>
        <w:t xml:space="preserve">II. - BASED ON THE FINDINGS ABOVE, THE COUNCIL  </w:t>
        <w:br/>
        <w:t xml:space="preserve">On the imputability of the observed practices:  </w:t>
        <w:br/>
        <w:t xml:space="preserve">Considering, on the one hand, that, given that the organization known as the 'Trade Union Organization of Stone Professionals of the Midi-Pyrénées Region' did not have legal existence due to its failure to file its statutes with the town hall, in accordance with Article L. 411-3 of the Labor Code, and moreover ceased all activity in October 1988, it is appropriate to attribute the preparation and dissemination of the document bearing the letterhead of this organization to the companies represented at the 'study commission on the time spent,' namely the companies Denoi, Escourbiac, Facchini, Pardo, and Hernandez:  </w:t>
        <w:br/>
        <w:t xml:space="preserve">Considering, on the other hand, that Ms. Marie-Claude Denoi cannot effectively invoke the changes that occurred in the situation of the funeral masonry company she operates, since it is established that she continues the activity previously carried out by her deceased husband, who participated in the aforementioned commission;  </w:t>
        <w:br/>
        <w:t xml:space="preserve">On the observed practices:  </w:t>
        <w:br/>
        <w:t>Considering that, while it is permissible for a professional union or any grouping of professionals to disseminate information intended to assist its members in managing their business, the assistance thus provided must not exert direct or indirect influence on the free play of competition within the profession, in any manner whatsoever:</w:t>
      </w:r>
    </w:p>
    <w:p>
      <w:r>
        <w:rPr>
          <w:b/>
        </w:rPr>
        <w:t>[Pages 4–5]</w:t>
      </w:r>
    </w:p>
    <w:p>
      <w:r>
        <w:t>that in particular the indications provided must not aim to or be able to have the effect of diverting companies from a direct understanding of their own costs, which allows them to individually determine their selling prices; Considering that, in this case, both of the aforementioned documents contain flat-rate indications on the time deemed necessary to perform various operations related to the opening and closing of funeral monuments; that the estimates thus made were done under conditions that are not specified in these documents; that thus these documents, although not presented as having a mandatory character, are likely to encourage competing companies to uniformly set their rates concerning the operations of opening and closing a funeral monument, contrary to the provisions of Article 7 of the aforementioned ordinance of December 1, 1986; Considering that if some of the companies argue that, as far as they are concerned, they did not take into account the reference times that had been communicated to them, these arguments are without merit, since the practices in question had an object and could have anticompetitive effects: On the application of Article 13 of the ordinance of December 1, 1986: Considering first that it is appropriate, by application of Article 13 of the aforementioned ordinance, to order the Chamber of Small Craftsmanship of the Building of Haute-Garonne, as well as Mr. François Pardo, Mrs. Marie-Claude Denoi, Mrs. Gisèle Hernandez, and the limited liability companies Facchini Frères and Escourbiac to cease developing or disseminating scales relating to the work carried out by funeral masonry companies; Considering secondly that it is also appropriate to impose a financial penalty on the Chamber of Small Craftsmanship of the Building of Haute-Garonne, taking into account, on the one hand, the dissemination of the 'invoice model' throughout the department, and on the other hand, the low incidence of the infringement due to the limited nature of the market, as well as the financial capacities of the said organization; that a fair assessment of all the circumstances of the case will set the amount of this penalty at 20,000 francs; Considering thirdly that, since the document established by the aforementioned five companies was only subject to limited dissemination and it does not appear from the file that the Departmental Directorate of Competition, Consumer Affairs, and Fraud Control of Haute-Garonne issued any observations following the submission of this document by Mr. Pardo, there is no need to impose a financial penalty on the said companies, Decides: Article 1. - It is ordered that the Chamber of Small Craftsmanship of the Building of Haute-Garonne, Mr. François Pardo, Mrs. Marie-Claude Denoi, Mrs. Gisèle Hernandez, S.A.R.L. Facchini Frères, and S.A.R.L. Escourbiac cease developing or disseminating scales relating to the work carried out by funeral masonry companies. Article 2. - A financial penalty of 20,000 francs is imposed on the Chamber of Small Craftsmanship of the Building of Haute-Garonne. Adopted on May 6, 1992, on the oral report of Mr. du Besset, by Mr. Laurent, president, Messrs. Béteille and Pineau, vice-presidents. The general rapporteur, The president, F. Jenny P. Laurent ©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