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https://www.autoritedelaconcurrence.fr/fr/decision/relative-des-pratiques-constatees-loccasion-dappels-doffre-pour-des-travaux-damelioration</w:t>
      </w:r>
    </w:p>
    <w:p>
      <w:r>
        <w:t>Pages translated : 2</w:t>
      </w:r>
    </w:p>
    <w:p/>
    <w:p>
      <w:r>
        <w:rPr>
          <w:b/>
        </w:rPr>
        <w:t>[Pages 1–2]</w:t>
      </w:r>
    </w:p>
    <w:p>
      <w:r>
        <w:t xml:space="preserve">FRENCH REPUBLIC  </w:t>
        <w:br/>
        <w:t xml:space="preserve">Decision No. 92-D-45 of September 8, 1992  </w:t>
        <w:br/>
        <w:t xml:space="preserve">regarding practices observed during calls for tender  </w:t>
        <w:br/>
        <w:t xml:space="preserve">for public lighting network improvement works in Abbeville  </w:t>
        <w:br/>
        <w:t xml:space="preserve">The Competition Council (Section I),  </w:t>
        <w:br/>
        <w:t xml:space="preserve">Having regard to the letter registered on August 31, 1990, under number F 340, by which the Minister of State,  </w:t>
        <w:br/>
        <w:t xml:space="preserve">Minister of Economy, Finance, and Budget, referred to the Competition Council  </w:t>
        <w:br/>
        <w:t xml:space="preserve">practices observed during calls for tender for public lighting network improvement works in Abbeville;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judgment of the Court of Cassation of December 15, 1988, overturning and annulling the order of the President of the Court of First Instance of Caen of June 12, 1987;  </w:t>
        <w:br/>
        <w:t xml:space="preserve">Having regard to the interim order of the President of the Court of First Instance of Caen of January 30, 1992;  </w:t>
        <w:br/>
        <w:t xml:space="preserve">On the procedure prior to the referral to the Competition Council:  </w:t>
        <w:br/>
        <w:t xml:space="preserve">Considering that agents of the General Directorate for Competition, Consumer Affairs, and Fraud Prevention seized on June 26, 1987, in the premises of the company Demouselle, pursuant to Article 48 of the Ordinance of December 1, 1986, in particular documents concerning contracts for the improvement works of the public lighting network of Abbeville; and as judged by the President of the Court of First Instance of Caen by an interim order of January 30, 1992, this seizure is irregular since the order of June 12, 1987, by which the President of the Court of First Instance of Caen authorized seizures in the premises of the company Demouselle was annulled by a judgment of the Court of Cassation of December 15, 1988:  </w:t>
        <w:br/>
        <w:t>Considering that, after returning to the company Demouselle on December 22, 1988, at 10 a.m., the irregularly seized documents on June 26, 1987, under Article 48 of the Ordinance of December 1, 1986, the agents of the General Directorate for Competition, Consumer Affairs, and Fraud Prevention, acting under Article 47 of said Ordinance, had the same day returned the documents they had just returned a quarter of an hour earlier; that, as noted by the judge in the interim proceedings on January 30, 1992, this return of documents does not present, with respect to the irregular seizure of June 26, 1987, an autonomy that would allow it to be regarded as regular;</w:t>
      </w:r>
    </w:p>
    <w:p>
      <w:r>
        <w:t xml:space="preserve">Considering that it follows from the above that the irregularly seized documents on June 26, 1987, and irregularly returned on December 22, 1988, cannot be retained as evidence and must be separated, and that the minutes of hearings referring directly or indirectly to these documents must also be dismissed; that the passages of the administrative report and the notification of grievances that are established from information drawn from these elements of the file cannot be used either;  </w:t>
        <w:br/>
        <w:t xml:space="preserve">Considering that the only documents remaining in the file do not contain elements allowing the proof of anti-competitive practices to be established, it is therefore appropriate to apply the provisions of Article 20 of the Ordinance of December 1, 1986;  </w:t>
        <w:br/>
        <w:t xml:space="preserve">On the procedure subsequent to the referral to the Competition Council:  </w:t>
        <w:br/>
        <w:t xml:space="preserve">Considering that, contrary to what the company Cegelec claims, the interim order of January 30, 1992, by which the President of the Court of First Instance of Caen ordered the separation of the irregularly seized documents in the premises of the company Demouselle and stated that no copy or duplicate may be used by any person or authority other than its owner, did not have as its object or effect to obstruct the application of the provisions of Article 18 of the aforementioned Decree of December 29, 1986, according to which the report must recall the grievances set out in the notification of grievances that are ultimately not retained by the rapporteur; that the report, in accordance with these provisions, recalled the grievances that had been notified on December 2, 1991, and, in accordance with the interim order of January 30, 1992, stated that these grievances were ultimately not retained due to the irregularities noted by said order,  </w:t>
        <w:br/>
        <w:t xml:space="preserve">Decides:  </w:t>
        <w:br/>
        <w:t xml:space="preserve">Sole Article. - There is no need to continue the procedure.  </w:t>
        <w:br/>
        <w:t xml:space="preserve">Adopted on September 8, 1992, on the report of Ms. Roul, by Mr. Béteille, Vice-President,  </w:t>
        <w:br/>
        <w:t xml:space="preserve">Messrs. Bon, Fries, Mmes. Lorenceau and Hagelsteen, and Mr. Schmidt, members.  </w:t>
        <w:br/>
        <w:t xml:space="preserve">The General Rapporteur, The Vice-President,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