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https://www.autoritedelaconcurrence.fr/fr/decision/relative-des-pratiques-constatees-sur-le-marche-de-limprimerie-de-labeur-dans-la-region</w:t>
      </w:r>
    </w:p>
    <w:p>
      <w:r>
        <w:t>Pages translated : 2</w:t>
      </w:r>
    </w:p>
    <w:p/>
    <w:p>
      <w:r>
        <w:rPr>
          <w:b/>
        </w:rPr>
        <w:t>[Pages 1–2]</w:t>
      </w:r>
    </w:p>
    <w:p>
      <w:r>
        <w:t xml:space="preserve">FRENCH REPUBLIC  </w:t>
        <w:br/>
        <w:t xml:space="preserve">Decision No. 96-D-08 of February 13, 1996  </w:t>
        <w:br/>
        <w:t xml:space="preserve">concerning practices observed in the labor printing market  </w:t>
        <w:br/>
        <w:t xml:space="preserve">in the Franche-Comté region  </w:t>
        <w:br/>
        <w:t xml:space="preserve">The Competition Council (standing committee),  </w:t>
        <w:br/>
        <w:t xml:space="preserve">Having regard to the letter registered on January 11, 1991, under number F 377, by which the Minister of State, Minister of Economy, Finance, and Budget referred to the Competition Council practices of the Employers' Chamber of Master Printers of Haute-Saône, Doubs, and the Territory of Belfort in the labor printing market in Franche-Comté;  </w:t>
        <w:br/>
        <w:t xml:space="preserve">Having regard to Ordinance No. 86-1243 of December 1, 1986, as amended, relating to the freedom of prices and competition and Decree No. 86-1309 of December 29, 1986, as amended, enacted for its application;  </w:t>
        <w:br/>
        <w:t xml:space="preserve">Having regard to the letter from the president of the Competition Council dated November 13, 1995, notifying the parties and the Government Commissioner of his decision to bring the case before the standing committee pursuant to Article 22 of the ordinance of December 1, 1986;  </w:t>
        <w:br/>
        <w:t xml:space="preserve">Having regard to the observations presented by the Government Commissioner;  </w:t>
        <w:br/>
        <w:t xml:space="preserve">Having regard to the other documents in the file;  </w:t>
        <w:br/>
        <w:t xml:space="preserve">The rapporteur, the general rapporteur, the Government Commissioner, and the representatives of the Employers' Chamber of Printers of Franche-Comté, the companies Imprimerie Schraag, Groupe des éditions comtoises, and l'Imprimerie des arts graphiques having been heard, the company Imprimerie La Frontière having been duly summoned;  </w:t>
        <w:br/>
        <w:t xml:space="preserve">Considering that the Minister of State, Minister of Economy, Finance, and Budget referred to the Competition Council practices of the Employers' Chamber of Master Printers of Haute-Saône, Doubs, and the Territory of Belfort, now the Employers' Chamber of Printers of Franche-Comté, in the labor printing market in Franche-Comté;  </w:t>
        <w:br/>
        <w:t xml:space="preserve">Considering that the representative of the Employers' Chamber of Printers of Franche-Comté and the companies Imprimerie Schraag and Groupe des éditions comtoises, during the debates before the Competition Council, argued that, in the absence of any act of investigation, observation, or sanction, the referral is time-barred pursuant to Article 27 of the ordinance of December 1, 1986;  </w:t>
        <w:br/>
        <w:t xml:space="preserve">Considering that under Article 27 of the said ordinance "the Council cannot be seized of facts dating back more than three years if no act has been made to seek, observe, or sanction them"; that the Court of Appeal of Paris (société l'Entreprise industrielle, 1st chamber, Competition section, judgment No. 95/3245 of December 1, 1995) decided that "this text establishes a limitation period and defines the nature of acts that have the effect of interrupting it; (...) that any limitation whose acquisition results in rendering an action inadmissible or prohibiting the sanction of a fact, begins to run again after it has been interrupted, subject to any possible cause (...) for the suspension of its course";  </w:t>
        <w:br/>
        <w:t xml:space="preserve">Considering that it is established that the practices denounced by the Minister of State, Minister of Economy, Finance, and Budget have not been subject to any interruptive act of limitation for a period of more than three years; that, under these conditions, the Council cannot examine these facts;  </w:t>
        <w:br/>
        <w:t xml:space="preserve">Considering that it follows from the above that it is necessary to apply the provisions of Article 20 of the ordinance of December 1, 1986,  </w:t>
        <w:br/>
        <w:t xml:space="preserve">Decides:  </w:t>
        <w:br/>
        <w:t xml:space="preserve">Sole Article. - There is no need to continue the procedure.  </w:t>
        <w:br/>
        <w:t xml:space="preserve">Deliberated, on the oral report of Mr. Bernard Lavergne, by Mr. Barbeau, president, Mr. Cortesse, vice-president, and Mr. Rocca, member, designated in place of Mr. Jenny, vice-president, prevented.  </w:t>
        <w:br/>
        <w:t xml:space="preserve">The substitute general rapporteur, The president,  </w:t>
        <w:br/>
        <w:t xml:space="preserve">François Vaissette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