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https://www.autoritedelaconcurrence.fr/fr/decision/relative-des-pratiques-constatees-sur-le-marche-du-ciment-dans-le-sud-ouest-de-la-france</w:t>
      </w:r>
    </w:p>
    <w:p>
      <w:r>
        <w:t>Pages translated : 3</w:t>
      </w:r>
    </w:p>
    <w:p/>
    <w:p>
      <w:r>
        <w:rPr>
          <w:b/>
        </w:rPr>
        <w:t>[Pages 1–3]</w:t>
      </w:r>
    </w:p>
    <w:p>
      <w:r>
        <w:t>Decision No. 02-D-12 of February 20, 2002</w:t>
        <w:br/>
        <w:t>regarding practices observed in the cement market in the southwest of France</w:t>
        <w:br/>
        <w:t>The Competition Council (permanent commission),</w:t>
        <w:br/>
        <w:t>Considering the letter of November 17, 1994, registered under number F 722, by which the Minister of Economy referred to the Competition Council practices observed in the cement market in the southwest of France;</w:t>
      </w:r>
    </w:p>
    <w:p>
      <w:r>
        <w:t>Considering Book IV of the Commercial Code relating to price freedom and competition and Decree No. 86-1309 of December 29, 1986, as amended, setting the conditions for the application of Ordinance No. 86-1243 of December 1, 1986;</w:t>
      </w:r>
    </w:p>
    <w:p>
      <w:r>
        <w:t>Considering Decision No. 01-D-27 of May 22, 2001;</w:t>
      </w:r>
    </w:p>
    <w:p>
      <w:r>
        <w:t>Considering the observations presented by the companies Ciments Calcia, Lafarge Ciments, and Séroul, by Mr. Domecq, and by the Government Commissioner;</w:t>
      </w:r>
    </w:p>
    <w:p>
      <w:r>
        <w:t>Considering the other documents in the file;</w:t>
      </w:r>
    </w:p>
    <w:p>
      <w:r>
        <w:t>The reporting member, the deputy general reporter, the Government Commissioner, and the representatives of the companies Ciments Calcia, Lafarge Ciments, and Séroul heard during the session of December 18, 2001;</w:t>
      </w:r>
    </w:p>
    <w:p>
      <w:r>
        <w:t>Considering that according to the terms of the ministerial referral letter, the companies Ciments Calcia and Lafarge Ciments engaged in anti-competitive practices aimed at eliminating their competitor, the company Silos de Bayonne, from the cement market in the southwest of France; that these practices consisted of exchanges of information about the activities of this company, in order to identify its customers and the carriers ensuring deliveries, and then to exert pressure on the same customers and carriers to terminate their business relationships with said company; that in view of the documents in the file, grievances were notified to the companies Ciments Calcia, Lafarge Ciments, to the transport company Séroul, and to Mr. Domecq, private research agent; that these grievances were maintained in the report established according to the modalities set out in Article L. 463-2 of the Commercial Code;</w:t>
      </w:r>
    </w:p>
    <w:p>
      <w:r>
        <w:t>Considering that Article L. 462-7 of the Commercial Code provides that "the Council cannot be seized of facts dating back more than three years if no act has been made aimed at their investigation, establishment, or sanction";</w:t>
      </w:r>
    </w:p>
    <w:p>
      <w:r>
        <w:t>Considering that it results from the documents in the file that a period of more than three years elapsed between October 30, 1997, the last date of receipt of the statement of objections, and December 28, 2000, the date of sending the report; that it is undisputed that, during this period, the practices denounced by the Minister in charge of the economy were not the subject of any act aimed at the investigation, establishment, or sanction of practices referred to by Articles L. 420-1 and L. 420-2 of the Commercial Code;</w:t>
      </w:r>
    </w:p>
    <w:p>
      <w:r>
        <w:t>Considering that the Government Commissioner, however, argues that he was unable to act to carry out an interruptive act of prescription and that the period provided for in the aforementioned article was suspended in his regard; that the reasoning of the judgment of the Court of Cassation dated July 17, 2001, overturning a judgment of the Paris Court of Appeal dated March 9, 1999, which had accepted the principle of the suspension of the prescription regarding the seizing company, placed in the impossibility of acting in the ongoing procedure before the Council, does not apply to the case of a referral from the Minister because he, unlike the companies or other legal entities making the referral, lacks any alternative means to protect the public economic order affected by anti-competitive practices;</w:t>
      </w:r>
    </w:p>
    <w:p>
      <w:r>
        <w:t>But considering that the judgment of March 9, 1999, mentioned above, was subject to a double cassation for violation of the law, the first, pronounced under the reference of Article L. 462-7 of the Commercial Code, on the grounds "(...) that by ruling thus, by adding to the aforementioned text a case of suspension of the prescription that it does not provide for, the Court of Appeal violated it," the second, pronounced under the same reference, on the grounds "(...) that by ruling thus, while the Competition Council, responsible for protecting the public economic order, is not competent to repair the damage possibly suffered by the parties who refer it and who allege to be victims of anti-competitive practices and can bring civil and criminal actions for compensation, annulment, or cessation of the contested practices, within the prescription periods applicable to these actions (...) the Court of Appeal violated the aforementioned text (...)";</w:t>
      </w:r>
    </w:p>
    <w:p>
      <w:r>
        <w:t>Considering that each of these two grounds for cassation independently justifies the cassation pronounced, regardless of the other; that, therefore, the first ground, which relies on the wording of Article L. 462-7 of the Commercial Code to exclude the suspension of the prescription, a provision applicable regardless of the author of the referral to the Council, leads to the conclusion that the prescription, which is not suspended when the referral comes from a company, is not suspended either when the Council is seized by the Minister;</w:t>
      </w:r>
    </w:p>
    <w:p>
      <w:r>
        <w:t>Considering that in this case, more than three years having elapsed between October 30, 1997, the last date of receipt of the statement of objections, and December 28, 2000, the date of sending the report, without any act having been carried out aimed at the investigation, establishment, or sanction of the denounced facts, the prescription was acquired as of October 30, 2000; that it is therefore appropriate that there is no need to continue the procedure.</w:t>
      </w:r>
    </w:p>
    <w:p>
      <w:r>
        <w:t>DECIDES</w:t>
        <w:br/>
        <w:t>Single Article - There is no need to continue the procedure.</w:t>
        <w:br/>
        <w:t>Deliberated, on the report of Ms. Palud, by Ms. Hagelsteen, President, Mr. Jenny, Vice-President, and Mr. Robin, member, in replacement of Mr. Nasse, Vice-President, prevented.</w:t>
      </w:r>
    </w:p>
    <w:p>
      <w:r>
        <w:t>The session secretary, The President,</w:t>
        <w:br/>
        <w:t>Thierry Poncelet Marie-Dominique Hagelsteen</w:t>
        <w:br/>
        <w:t>Ó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