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https://www.autoritedelaconcurrence.fr/fr/decision/relative-des-pratiques-dans-la-passation-de-marches-publics-de-travaux-dextension-du</w:t>
      </w:r>
    </w:p>
    <w:p>
      <w:r>
        <w:t>Pages translated : 10</w:t>
      </w:r>
    </w:p>
    <w:p/>
    <w:p>
      <w:r>
        <w:rPr>
          <w:b/>
        </w:rPr>
        <w:t>[Pages 1–3]</w:t>
      </w:r>
    </w:p>
    <w:p>
      <w:r>
        <w:t>FRENCH REPUBLIC</w:t>
        <w:br/>
        <w:t>Decision No. 19-D-06 of April 19, 2019</w:t>
        <w:br/>
        <w:t>regarding practices in the awarding of public contracts for</w:t>
        <w:br/>
        <w:t>the extension works of the Bordeaux tramway</w:t>
        <w:br/>
        <w:t>The Competition Authority (president ruling alone),</w:t>
      </w:r>
    </w:p>
    <w:p>
      <w:r>
        <w:t>Having regard to the letter registered on May 18, 2012 under number 12/0045 F and supplemented by the letters registered on October 26, 2012 and December 26, 2013, by which the urban community of Bordeaux referred to the Competition Authority practices implemented in the public procurement sector related to the extension works of the Bordeaux tramway;</w:t>
      </w:r>
    </w:p>
    <w:p>
      <w:r>
        <w:t>Having regard to Article 101 of the Treaty on the Functioning of the European Union;</w:t>
      </w:r>
    </w:p>
    <w:p>
      <w:r>
        <w:t>Having regard to Book IV of the amended Commercial Code;</w:t>
      </w:r>
    </w:p>
    <w:p>
      <w:r>
        <w:t>Having regard to the other documents in the file;</w:t>
      </w:r>
    </w:p>
    <w:p>
      <w:r>
        <w:t>The rapporteur, the deputy general rapporteur, and the representative of Bordeaux Métropole heard during the session of the Competition Authority on March 19, 2019, the Government Commissioner having been regularly summoned;</w:t>
      </w:r>
    </w:p>
    <w:p>
      <w:r>
        <w:t>Adopts the following decision:</w:t>
      </w:r>
    </w:p>
    <w:p>
      <w:r>
        <w:t>Summary1:</w:t>
        <w:br/>
        <w:t>Under the terms of this decision, the Competition Authority rejects the referral by the urban community of Bordeaux (hereinafter "the CUB") for lack of sufficiently convincing evidence.</w:t>
      </w:r>
    </w:p>
    <w:p>
      <w:r>
        <w:t>In its referral, the CUB denounced practices implemented in the context of awarding certain public contracts related to the extension works of its tramway network, which it considered likely to constitute a prohibited agreement under Articles L. 420-1 of the Commercial Code and 101 of the Treaty on the Functioning of the European Union.</w:t>
      </w:r>
    </w:p>
    <w:p>
      <w:r>
        <w:t>Based on an analysis of the content of the candidates' offers and the IT properties of the files communicated during the consultations, the CUB indeed accused several companies that participated in the tenders of having operated a market allocation. However, the elements provided by the applicant do not allow for the demonstration of the existence of the alleged practices.</w:t>
      </w:r>
    </w:p>
    <w:p>
      <w:r>
        <w:t>Furthermore, the Authority emphasizes that the investigation services were unable to obtain additional evidence of these practices, assuming they existed, whether by using their investigative powers or conducting search and seizure operations, notably due to the communication campaign carried out by the CUB prior to the referral to the Authority. By indicating, indeed, to the press as well as to the bidding companies its intention to refer to the Authority, the CUB deprived the investigation services of the opportunity to conduct search and seizure operations with a reasonable probability of finding evidence.</w:t>
      </w:r>
    </w:p>
    <w:p>
      <w:r>
        <w:t>1 This summary is strictly informative. Only the reasons for the decision numbered below are authoritative.</w:t>
      </w:r>
    </w:p>
    <w:p>
      <w:r>
        <w:t>I. Findings</w:t>
        <w:br/>
        <w:t>1. By letter registered on May 18, 2012 under number 12/0045 F, the urban community of Bordeaux (hereinafter "CUB," which has since become "Bordeaux Métropole" as of January 1, 2014) referred to the Competition Authority (hereinafter "the Authority") practices implemented in the context of tenders concerning contracts for the extension of its tramway network, which it considered likely to constitute a prohibited agreement under Articles L. 420-1 of the Commercial Code and 101 of the Treaty on the Functioning of the European Union. By letters registered on October 26, 2012 and December 26, 2013, the CUB provided supplementary documents to its referral.</w:t>
      </w:r>
    </w:p>
    <w:p>
      <w:r>
        <w:t>A. THE PUBLIC CONTRACTS CONCERNED</w:t>
        <w:br/>
        <w:t>2. The referral from the CUB concerns the awarding of public contracts launched for the realization of extension works of the tramway of the Bordeaux metropolitan area.</w:t>
      </w:r>
    </w:p>
    <w:p>
      <w:r>
        <w:t>3. By deliberation of December 6, 2009, the CUB decided to extend its tramway network by prolonging the three existing lines and creating a fourth line. The works referred to in the main referral and the supplementary letters are as follows:</w:t>
        <w:br/>
        <w:t>- the works for the realization of railway infrastructure, lot 1 of the contracts concerning the railway, namely the consultations known as Tram 301 lot 1 (lines A, B, and C on the extensions of Mérignac and Bordeaux North) and Tram 302 lot 1 (other sections of lines B and C), with lot 2 of these contracts concerning the overhead lines not being included in the referral;</w:t>
        <w:br/>
        <w:t>- the realization of road works, surface developments, and urban developments known as "VRD" in the municipalities of Mérignac, Bègles, Bordeaux, and Pessac, comprising seven consultations (lots VRD 301, 302, 303, 305, 306, 307, and 308).</w:t>
      </w:r>
    </w:p>
    <w:p>
      <w:r>
        <w:t>B. THE PRACTICES PRESENTED BY THE REFERRAL AND ITS SUPPLEMENTS</w:t>
        <w:br/>
        <w:t>1. TRAM CONTRACTS CONCERNED BY THE REFERRAL OF MAY 11, 2012</w:t>
        <w:br/>
        <w:t>4. The initial referral targets practices of collusion on the offers for lots Tram 301 lot 1 and Tram 302 lot 2 from the groups Eurovia and Eiffage, designated as awardees on the two tenders. The referral is based on the comparison of these offers.</w:t>
      </w:r>
    </w:p>
    <w:p>
      <w:r>
        <w:t>5. The applicant notes a small difference between the price offers of these two groups (1.14% on Tram 301 and 1.97% on Tram 302). She also observes that the technical value score attributed to these two groups, on each of the two lots, shows a "nearly zero" gap (0.12 out of 10 points for lot Tram 301 and 0 out of 10 points for lot Tram 302, reference 17). She deduces a "de facto allocation of</w:t>
      </w:r>
    </w:p>
    <w:p>
      <w:r>
        <w:rPr>
          <w:b/>
        </w:rPr>
        <w:t>[Pages 4–6]</w:t>
      </w:r>
    </w:p>
    <w:p>
      <w:r>
        <w:t>two markets, given the small qualitative and financial gap between the offers of the two operators who came out on top in each market [which] raised questions from the tender commission" (reference 17).</w:t>
      </w:r>
    </w:p>
    <w:p>
      <w:r>
        <w:t>6. To support the hypothesis of market allocation between these two competitors, the applicant examines the content of their offers on certain items, for which she compares the prices and quantitative amounts of the first to the second offer. She thus observes "that the price offer shows no obvious correlation with the quantities ... [which] vary upwards or downwards in significant proportions" (reference 33). She considers that "once detected, the inconsistencies that have been noted cannot be interpreted as a sign of coincidence" (reference 53).</w:t>
      </w:r>
    </w:p>
    <w:p>
      <w:r>
        <w:t>7. The applicant also conducts an examination focused solely on price, transposing the price used by the bidder for some items from the first market to the same items in the second market. From this method, she concludes that "the mere maintenance of two unit prices in the 'railway' price chapter would have led to a different result, with the Eurovia group then becoming the best bidder on the Tram 302 market" (reference 54).</w:t>
      </w:r>
    </w:p>
    <w:p>
      <w:r>
        <w:t>2. VRD MARKETS ARISING FROM THE COMPLEMENTARY REFERRAL OF OCTOBER 25, 2012</w:t>
      </w:r>
    </w:p>
    <w:p>
      <w:r>
        <w:t>8. The CUB also denounces a collusion practice concerning the procedure for awarding the VRD contracts. It analyzes the submitted offers and finds a high level of overall price proposals compared to the estimate, with an excess of 18% compared to the offers of the best bidders and 21% compared to the average of the offers. It opposes this significant gap to the narrow range of overall price proposals among themselves, which varies from 2% to 11% depending on the markets, even though the offers from the operators show great disparity on some price items. It deduces a de facto allocation: "At the end of the consultation, the six candidates win at least one contract. There is a de facto allocation among the six bidding operators; each of them proves to be the best bidder on one of the markets, and one candidate proves to be the best bidder on two of these markets" (reference 6,470).</w:t>
      </w:r>
    </w:p>
    <w:p>
      <w:r>
        <w:t>9. Furthermore, in light of the low disparity between the offers from the operators, it breaks down the price items of the competitors and notes significant gaps between bidders regarding certain items, such as the item of work related to general site prices and its relative weight compared to the overall offer (from 14% to 32.8%). The CUB considers the disparities thus noted as "characteristic of a cover offer" (reference 6,531).</w:t>
      </w:r>
    </w:p>
    <w:p>
      <w:r>
        <w:t>10. Finally, it believes that there is an inconsistency regarding these items concerning the variations between price values and quantities. It supports its reasoning on the replacement of certain prices with those from other markets. This would result in a disruption in the final outcome, with other operators then becoming less competitive.</w:t>
      </w:r>
    </w:p>
    <w:p>
      <w:r>
        <w:t>3. COMPUTER ANALYSIS OF THE CUB (LETTER OF DECEMBER 26, 2013)</w:t>
      </w:r>
    </w:p>
    <w:p>
      <w:r>
        <w:t>11. The CUB supplemented its referral with an analysis of the digital data provided by the candidates during the previously described consultations. Its "analysis of the electronic supports of the operators' offers" (reference 21,973) was based on the offers submitted by the candidates, respectively for the VRD markets and for the Tram markets, a correspondence table of these offers, and a table grouping part of the data contained in the CD-ROMs. At the end of its analysis, the applicant considers that the results are "likely to reinforce the thesis of organized collusion between the companies" (reference 21,970), since:</w:t>
      </w:r>
    </w:p>
    <w:p>
      <w:r>
        <w:t>" - Documents related to prices</w:t>
        <w:br/>
        <w:t>- reveal the intervention of an operator different from the one making the offer on its behalf: Eurovia (Vinci group) intervenes on the offers of Fayat, and Moter (Vinci group) on the VRD markets 305, 307, and 308;</w:t>
        <w:br/>
        <w:t>- are created by the same person for the offers of:</w:t>
        <w:br/>
        <w:t>- Eurovia (Vinci group), Fayat, and Moter (Vinci group) for both a railway market (Tram 301) and for VRD markets (305, 307, and 308),</w:t>
        <w:br/>
        <w:t>- Colas and Screg (Bouygues group), and Eiffage/Forclum (Eiffage group) for the VRD markets 302, 303, 307, and 308,</w:t>
        <w:br/>
        <w:t>- the computer tools used to convert the documents to .pdf format on the CD-ROMs show such variety among certain operators (up to 7 different tools among the TSO and Eurovia groups) that the question arises as to where they were converted;</w:t>
        <w:br/>
        <w:t>- Almost all (92%) of the information concerning the last backups of the computer files has, moreover, been deliberately erased from the CD-ROMs by these operators, suggesting their refined method."</w:t>
      </w:r>
    </w:p>
    <w:p>
      <w:r>
        <w:t>C. THE CUB'S COMMUNICATION CAMPAIGN</w:t>
      </w:r>
    </w:p>
    <w:p>
      <w:r>
        <w:t>12. Following the aforementioned calls for tenders, the CUB conducted a warning campaign aimed at the concerned bidding companies as well as a public communication regarding its intention to refer to the Authority.</w:t>
      </w:r>
    </w:p>
    <w:p>
      <w:r>
        <w:t>13. Thus, on the occasion of a letter dated July 22, 2011 (references 21,686 to 21,716) and while some of the calls for tenders had been declared unsuccessful by the CUB, the latter individually warned each of the companies bidding for the said calls for tenders about the resumption of its project in the form of negotiated contracts. The community notably indicates that "the financial proposals made by the economic operators, which present little variation among themselves, are far superior to the estimate of the work to be carried out ... the offers thus made would lead, in the lowest hypothesis, to an increase of nearly 20% in the cost of the VRD works ... Furthermore, the tender commission notes that six operators or groups of operators bid in total for these seven calls for tenders. Their pricing proposals, which, according to the regulations of each consultation, would have been assessed on the predominant criterion of price (60%), would have mechanically led them to rank each first on one of the calls for tenders, with one of the groups of operators ranking first twice."</w:t>
      </w:r>
    </w:p>
    <w:p>
      <w:r>
        <w:t>14. The president of the CUB, signatory of the letter, continues: "This de facto allocation of public procurement among operators regularly observed in other segments of its purchasing is troubling and leads me to question its competitive functioning. On this basis, I therefore asked my services to study the referral to the Competition Authority."</w:t>
      </w:r>
    </w:p>
    <w:p>
      <w:r>
        <w:t>15. In response to this letter, a large number of the bidding companies indicated in writing (references 21,718 to 21,747) that their practices had complied with competition law rules. They stated, for example, that they acted "completely independently in compliance with competition rules and in relation to individual economic capacities and workload planning," without resorting to "any illegal anti-competitive practices" and "responded in the strictest compliance with competition law regulations and ethical rules."</w:t>
      </w:r>
    </w:p>
    <w:p>
      <w:r>
        <w:t>II. Discussion</w:t>
      </w:r>
    </w:p>
    <w:p>
      <w:r>
        <w:t>16. Article L. 462-8 of the Commercial Code provides that "the Competition Authority may declare, by a reasoned decision, the referral inadmissible for lack of interest or standing to act of the applicant, or if the facts are time-barred within the meaning of Article L. 462-7, or if it considers that the facts invoked do not fall within its jurisdiction. It may also reject the referral by reasoned decision when it considers that the facts invoked are not supported by sufficiently convincing evidence."</w:t>
      </w:r>
    </w:p>
    <w:p>
      <w:r>
        <w:t>17. In this case, the applicant has provided significant analytical work on the offers to support its denunciations. However, the elements provided are nevertheless insufficiently convincing (A) and the Authority has not been able to obtain additional evidence (B).</w:t>
      </w:r>
    </w:p>
    <w:p>
      <w:r>
        <w:t>A. THE ABSENCE OF SUFFICIENTLY CONVINCING ELEMENTS IN THE REFERRAL AND ITS COMPLEMENTS</w:t>
      </w:r>
    </w:p>
    <w:p>
      <w:r>
        <w:t>1. CONCERNING THE TRAM MARKETS</w:t>
      </w:r>
    </w:p>
    <w:p>
      <w:r>
        <w:t>18. The suspicion of market allocation by the applicant is based on the observation of a very narrow gap concerning the overall offers of the two awardees, compared to much larger price fluctuations observed within some components of these offers. In these conditions, the applicant believes that the presence of a small gap between the two awardees, both for their overall price offers and for the technical value of the offers, is a sign of collusion.</w:t>
      </w:r>
    </w:p>
    <w:p>
      <w:r>
        <w:t>19. Nevertheless, the mere observation that the lowest bid for the Tram 301 lot 1 market was made by the group of companies led by Eurovia in front of the Eiffage Rail group, while for the Tram 302 lot 1 market, the results were reversed, is insufficient to establish a market allocation, even in the presence of small gaps between the offers.</w:t>
      </w:r>
    </w:p>
    <w:p>
      <w:r>
        <w:t>20. More detailed analyses of the offers made by the applicant also do not allow for conclusions to be drawn. The applicant thus believes that, on certain items, the variations between prices and quantities from one market to another are inconsistent. It then analyzes the consequences on the establishment of the offers when transposing the prices and quantities used by the bidder for some items from the first market to the same items in the second market.</w:t>
      </w:r>
    </w:p>
    <w:p>
      <w:r>
        <w:rPr>
          <w:b/>
        </w:rPr>
        <w:t>[Pages 7–9]</w:t>
      </w:r>
    </w:p>
    <w:p>
      <w:r>
        <w:t>21. However, the mere fact of taking up certain mechanisms for determining the candidates' offers, substituting one's own reasoning (such as the assumption that the materials used on the three concerned tramway lines are identical), and deducing from the differences thus created that there are inconsistencies that do not respond to either economic logic or a fortuitous coincidence, and can therefore only stem from anti-competitive motives, cannot be considered as sufficient demonstrative evidence.</w:t>
      </w:r>
    </w:p>
    <w:p>
      <w:r>
        <w:t>2. CONCERNING THE VRD CONTRACTS</w:t>
      </w:r>
    </w:p>
    <w:p>
      <w:r>
        <w:t>22. The CUB first argues that the existence of narrow gaps between the overall offers and the balanced allocation of contracts reveals a market allocation among the bidders.</w:t>
      </w:r>
    </w:p>
    <w:p>
      <w:r>
        <w:t>23. Nevertheless, a small gap in price offers is not, in itself, conclusive and cannot alone characterize the implementation of an agreement.</w:t>
      </w:r>
    </w:p>
    <w:p>
      <w:r>
        <w:t>24. Furthermore, the applicant makes a series of assumptions, for example estimating that "Colas maintaining its price 10-1-1 from the VRD 301 contract on the VRD 303 contract and a limited decrease of 0.10% of its price 10-1-2 from the VRD 301 contract on the same VRD 303 would necessarily have led to raising its overall offer to an amount higher than that of Eurovia, making the latter the best bidder on the VRD 303" (reference 6,532). She continues her analysis by substituting prices between different bidders: "If Colas had applied a price identical to that of Eurovia on the VRD 303 contract, the valuation of this service would have been 740,718 euros (129,000 euros * 5,742 ml) instead of 601,761 euros (104.80 * 5,742 ml), thus 138,957 euros more, bringing its overall offer to 11,282,185 euros instead of 11,143,228 euros. In this hypothesis, Colas would retain its best position but would only lead Eurovia by 109,000 euros" (reference 6,492).</w:t>
      </w:r>
    </w:p>
    <w:p>
      <w:r>
        <w:t>25. Nevertheless, the applicant isolates about ten unit prices, even though the offers contain several hundred. Her simulations also assume that the different companies have identical cost structures. Finally, in any case, the analyses of the CUB do not establish an intention to allocate the offers.</w:t>
      </w:r>
    </w:p>
    <w:p>
      <w:r>
        <w:t>26. Thus, even assuming the proposals of these companies on certain of their unit prices or price items are aberrant, as the applicant does, simulations based on other criteria are not sufficient to demonstrate an allocation among companies, so that, just as for the tram contracts, the analyses of the applicant do not demonstrate the existence of an anti-competitive practice.</w:t>
      </w:r>
    </w:p>
    <w:p>
      <w:r>
        <w:t>3. CONCERNING THE ANALYSIS OF COMPUTER DATA</w:t>
      </w:r>
    </w:p>
    <w:p>
      <w:r>
        <w:t>27. In addition to her referral, the CUB transmitted to the Authority the following analysis of part of the computer data provided by the bidders: "In the context of these consultations, the economic operators were invited to provide a digital copy of their offer on physical media (CD-ROM) in .pdf or .xls file format for the DQE (detailed quantitative estimate). The readable (non-erased) computer data on a selection of these electronic media were analyzed by the CUB in order to understand the conditions under which the operators formulate their electronic offers.</w:t>
      </w:r>
    </w:p>
    <w:p>
      <w:r>
        <w:t>These data were laid out in the attached ordered table. Their analysis consisted of comparing the computer elements gathered in the columns and rows of the table in order to attempt to identify the elements responsible for the creation of the documents and to interpret them in terms of competitive behavior" (reference 21,973).</w:t>
      </w:r>
    </w:p>
    <w:p>
      <w:r>
        <w:t>28. It thus performs five types of analysis (numbered 1 to 4 then 6) and considers that these complementary elements "reinforce the thesis of organized collusion between the companies" (reference 21,970). However, the computer analyses of the CUB are not currently capable of providing the Authority with sufficiently convincing evidence.</w:t>
      </w:r>
    </w:p>
    <w:p>
      <w:r>
        <w:t>29. The applicant first conducts the following analysis (analysis 1): "Select each line in turn from the column where the entity that performed the last save ("lastsavedby") is indicated, retaining only the lines that seem to be discordant with the bidding operator on the CD-ROM" (reference 21,976). She concludes that Eurovia appears to be the last to have saved files on the quantitative details of the offers made by Fayat and Moter. The file concerned for Fayat is named "08 ACT-TIN-AG-P00-DE-1608-C DQE VRD307.xls". It is supposed to be on CD12. However, CD12, listed by the CUB as originating from Fayat, contains only six .pdf files and no .xls files.</w:t>
      </w:r>
    </w:p>
    <w:p>
      <w:r>
        <w:t>30. Therefore, the cross-table on which the applicant relies seems to contain errors, and the conclusions drawn from this table cannot be directly exploited or verified. This also disrupts the analysis aimed at identifying identical names among the initial creators of the files (analysis 2), for which some of the referenced CDs are inaccurate. Furthermore, the authors concerned are not identified by the applicant, even though some of them may have legitimately created the initial file, subsequently filled in by different bidders.</w:t>
      </w:r>
    </w:p>
    <w:p>
      <w:r>
        <w:t>31. Next, the CUB conducts an analysis concerning unfilled data that it believes may have been erased (analysis 6). It thus claims to have identified a voluntary and massive practice of data erasure in the digitized offers of the bidders, intended to conceal their collusion: "Overall, out of 495 lines, the elements concerning the last save of the documents "lastsavedby" are mostly erased: 454 times (92%). When this data is not erased (41 times or 8%), it always (100%) corresponds to .xls or .doc documents and never to .pdf documents. The .pdf format is generally the format used to transmit a document outside the company, which raises questions about its almost generalized erasure. (...) Given the importance of the erased data on interesting arguments such as "lastsavedby" (92%) and "title" (66%), it would be interesting to broaden the analysis to second-level metadata."</w:t>
      </w:r>
    </w:p>
    <w:p>
      <w:r>
        <w:t>32. Nevertheless, the mention "lastsavedby," which corresponds in French to "dernier enregistrement par," is specific to the Microsoft Office suite. It is found in Word files (extension .doc) or Excel files (extension .xls) but does not exist for .pdf files from Adobe software. Therefore, the absence of this data in .pdf files is not proof of an operation of "almost generalized erasure."</w:t>
      </w:r>
    </w:p>
    <w:p>
      <w:r>
        <w:t>33. In this regard, conversely, only .pdf files provide the mention "creator," which also renders analysis 3, noting the absence of "a line where both the indications concerning the tool 'creator' that was used to burn the documents onto the CD-ROM and those concerning the entity that performed the last save 'lastsavedby' of the documents" inconclusive.</w:t>
      </w:r>
    </w:p>
    <w:p>
      <w:r>
        <w:t>34. Finally, the analysis aimed at identifying the computer tools used to burn the documents "creator" (analysis 4) is also inconclusive. Indeed, the CUB's observation that the same "creator" burning tool is used by different operators does not allow for any conclusion, given that the tools in question are widely spread.</w:t>
      </w:r>
    </w:p>
    <w:p>
      <w:r>
        <w:t>35. It follows from the above that the computer analyses provided by the CUB are not capable of providing sufficiently convincing elements of the practices denounced.</w:t>
      </w:r>
    </w:p>
    <w:p>
      <w:r>
        <w:t>B. THE IMPOSSIBILITY OF OBTAINING ADDITIONAL EVIDENCE</w:t>
      </w:r>
    </w:p>
    <w:p>
      <w:r>
        <w:t>36. The elements in the file are not sufficient to prove the practices denounced and can only constitute indications requiring that additional evidence be provided to establish an anti-competitive practice.</w:t>
      </w:r>
    </w:p>
    <w:p>
      <w:r>
        <w:t>37. Such evidence can theoretically be obtained through the implementation by the Authority's investigation services of their simple powers (questionnaires or hearings) or by resorting to search and seizure operations, it being recalled in this regard that it is not the Authority's role, in principle, to supplement the parties' shortcomings in the administration of evidence and to conduct additional investigations (judgment of the Court of Cassation of January 19, 2016, no. 14-21.670 and 14-21.671).</w:t>
      </w:r>
    </w:p>
    <w:p>
      <w:r>
        <w:t>38. However, by issuing warnings to the concerned companies, notably referring to anti-competitive practices, and publicly communicating about her referral to the Authority, the applicant may have caused an irretrievable loss of evidence of anti-competitive practices, assuming that such practices existed. She thus deprived the investigation services of the opportunity to carry out search and seizure operations with a reasonable probability of finding probative elements.</w:t>
      </w:r>
    </w:p>
    <w:p>
      <w:r>
        <w:t>39. As for the implementation by the investigation services of "simple" investigative measures, while these remain conceivable, they are, however, poorly suited to the denounced practices, which are generally subject to precautions by their authors. In this case, the investigation services did not identify any elements supporting the denounced practices.</w:t>
      </w:r>
    </w:p>
    <w:p>
      <w:r>
        <w:t>40. Thus, in the absence of the Authority being able to substantiate the denounced practices, it does not emerge from the arguments and documents provided by the applicant that there are sufficiently convincing elements of the existence of an anti-competitive agreement. The referral must therefore be rejected pursuant to Article L. 462-8, paragraph 2 of the Commercial Code.</w:t>
      </w:r>
    </w:p>
    <w:p>
      <w:r>
        <w:rPr>
          <w:b/>
        </w:rPr>
        <w:t>[Pages 10–10]</w:t>
      </w:r>
    </w:p>
    <w:p>
      <w:r>
        <w:t xml:space="preserve">DECISION  </w:t>
        <w:br/>
        <w:t xml:space="preserve">Sole Article: The referral registered under number 12/0045 F is rejected.  </w:t>
        <w:br/>
        <w:t xml:space="preserve">Deliberated on the oral report of Mr. Didier Pallandre and the intervention of Mr. Umberto Berkani, deputy general rapporteur, by Ms. Isabelle de Silva, president.  </w:t>
        <w:br/>
        <w:t xml:space="preserve">The session secretary, The president,  </w:t>
        <w:br/>
        <w:t>Caroline Orsel Isabelle de Silva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