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https://www.autoritedelaconcurrence.fr/fr/decision/relative-des-pratiques-dans-le-secteur-de-la-vente-et-de-la-reparation-de-protheses</w:t>
      </w:r>
    </w:p>
    <w:p>
      <w:r>
        <w:t>Pages translated : 2</w:t>
      </w:r>
    </w:p>
    <w:p/>
    <w:p>
      <w:r>
        <w:rPr>
          <w:b/>
        </w:rPr>
        <w:t>[Pages 1–2]</w:t>
      </w:r>
    </w:p>
    <w:p>
      <w:r>
        <w:t xml:space="preserve">FRENCH REPUBLIC  </w:t>
        <w:br/>
        <w:t xml:space="preserve">Decision No. 91-D-27 of May 29, 1991  </w:t>
        <w:br/>
        <w:t xml:space="preserve">concerning practices in the sector of the sale and repair of dental prostheses  </w:t>
        <w:br/>
        <w:t xml:space="preserve">The Competition Council,  </w:t>
        <w:br/>
        <w:t xml:space="preserve">Having regard to the letter registered on June 20, 1989, under number F 254, by which the National Confederation of Dental Unions (C.N.S.D.) referred to the Competition Council, on the one hand, practices of the National Union of Dental Prosthetists Employers and affiliated unions, and on the other hand, practices of Messrs. Bourland, Arnsek, and Pilloni;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letters of February 14, 1991, from the president of the Competition Council notifying the interested parties of the transmission of the file to the permanent commission, in accordance with the provisions of Article 22 of the aforementioned ordinance of December 1, 1986;  </w:t>
        <w:br/>
        <w:t xml:space="preserve">Having regard to the observations of the Government Commissioner;  </w:t>
        <w:br/>
        <w:t xml:space="preserve">Having regard to the other documents in the file;  </w:t>
        <w:br/>
        <w:t xml:space="preserve">The rapporteur, the general rapporteur, the Government Commissioner, and the representative of the C.N.S.D. having been heard, Mr. Bourland, the liquidator of Mr. Arnsek's business, and Mr. Pilloni having been duly summoned;  </w:t>
        <w:br/>
        <w:t>Considering that if, by the aforementioned letter, the National Confederation of Dental Unions (C.N.S.D.) referred to the Competition Council, on the one hand, practices that it attributes to the National Union of Dental Prosthetists Employers and affiliated unions, and on the other hand, practices that it attributes to Messrs. Bourland, Arnsek, and Pilloni, the absence of links between these different practices leads to their separate examination; that this decision concerns those invoked against Messrs. Bourland, Arnsek, and Pilloni;</w:t>
      </w:r>
    </w:p>
    <w:p>
      <w:r>
        <w:t xml:space="preserve">Considering that Mr. Arnsek opened a dental prosthesis laboratory in Béziers in October 1987, that Mr. Pilloni established himself in April 1988 in Baillargues, near Montpellier, under the trade name 'Eurodental', and that during the first quarter of 1988 they jointly developed and disseminated with Mr. Bourland, based in Nîmes, a common advertising leaflet entitled 'liberal dental prosthesis laboratory' featuring their names, addresses, and phone numbers, as well as prices for the repair and creation of removable prostheses; that at the beginning of 1989 a second leaflet was produced and disseminated, similar to the first, but where only the laboratories of Messrs. Pilloni and Arnsek are mentioned, Mr. Bourland having ceased his activity on December 31, 1988;  </w:t>
        <w:br/>
        <w:t xml:space="preserve">Considering that Messrs. Bourland, Arnsek, and Pilloni conducted their activities of selling and repairing dental prostheses to a localized clientele, in each case, exclusively in the city where the laboratory was located and in its immediate surroundings; that thus each of the operators operated in a specific catchment area; that assuming that the aforementioned leaflets had another purpose than advertising and informing the clientele, it is not established, in the state of the file, that they had an object or that they could have an anti-competitive effect on the three considered prosthesis markets,  </w:t>
        <w:br/>
        <w:t xml:space="preserve">Decides:  </w:t>
        <w:br/>
        <w:t xml:space="preserve">Sole Article. - It is not established that Messrs. Bourland, Arnsek, and Pilloni have violated the provisions of Article 7 of Ordinance No. 86-1243 of December 1, 1986.  </w:t>
        <w:br/>
        <w:t xml:space="preserve">Deliberated in the permanent commission, on the oral report of Mr. Paitre, in its session of May 29, 1991, where the following were present:  </w:t>
        <w:br/>
        <w:t xml:space="preserve">Mr. Laurent, president;  </w:t>
        <w:br/>
        <w:t xml:space="preserve">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