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https://www.autoritedelaconcurrence.fr/fr/decision/relative-des-pratiques-dans-le-secteur-de-lenseignement-de-la-conduite-des-vehicules-dans</w:t>
      </w:r>
    </w:p>
    <w:p>
      <w:r>
        <w:t>Pages translated : 2</w:t>
      </w:r>
    </w:p>
    <w:p/>
    <w:p>
      <w:r>
        <w:rPr>
          <w:b/>
        </w:rPr>
        <w:t>[Pages 1–2]</w:t>
      </w:r>
    </w:p>
    <w:p>
      <w:r>
        <w:t xml:space="preserve">FRENCH REPUBLIC  </w:t>
        <w:br/>
        <w:t xml:space="preserve">Decision No. 92-D-10 of February 11, 1992  </w:t>
        <w:br/>
        <w:t xml:space="preserve">regarding practices in the vehicle driving instruction sector in the department of Cher  </w:t>
        <w:br/>
        <w:t xml:space="preserve">The Competition Council,  </w:t>
        <w:br/>
        <w:t xml:space="preserve">Having regard to the letter registered on October 15, 1987, under number F 117, by which the Minister of State, Minister of Economy, Finance, and Privatization, referred to the Competition Council practices of collusion in the vehicle driving instruction sector in the departments of Cher, Indre-et-Loire, Maine-et-Loire, Sarthe, and Vienne;  </w:t>
        <w:br/>
        <w:t xml:space="preserve">Having regard to Ordinances No. 45-1483 and No. 45-1484 of June 30, 1945, as amended, respectively relating to prices and the determination,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procedure initiated on July 22, 1991, pursuant to the provisions of Article 22 of Ordinance No. 86-1243;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heard;  </w:t>
        <w:br/>
        <w:t xml:space="preserve">On the procedure:  </w:t>
        <w:br/>
        <w:t xml:space="preserve">Considering that, by the aforementioned letter, the minister responsible for the economy referred to the Competition Council the situation of competition in the vehicle driving sector in the Centre region; that the investigation reveals that distinct consultations were organized in the different departments of this region; that it is therefore necessary to examine the said practices department by department; that this decision relates to the practices identified in the department of Cher;  </w:t>
        <w:br/>
        <w:t xml:space="preserve">On the merits:  </w:t>
        <w:br/>
        <w:t xml:space="preserve">Considering that the succession of union meetings, the purpose of which often remained unclear, does not constitute, in this case, an indication of anti-competitive collusion; that it does not emerge from the documents in the file that the participants in these meetings, whose list could not be established with certainty, intended to agree to practice a common rate; that most of the companies that were the subject of the investigation were able to report methods of setting their prices that are their own and that the analysis of the rates practiced does not reveal the existence of an agreement in this matter;  </w:t>
        <w:br/>
        <w:t xml:space="preserve">Considering therefore that it does not result from the investigation that the National Union Chamber of Commerce and Automobile Repair (C.S.N.C.R.A.), now called the National Center for Automotive Professions (C.N.P.A.), and the operators of driving schools mentioned in the notification of grievances have violated the provisions of Article 50 of Ordinance No. 45-1483 of June 30, 1945, referred to above.  </w:t>
        <w:br/>
        <w:t xml:space="preserve">Decides:  </w:t>
        <w:br/>
        <w:t xml:space="preserve">Sole Article. - It is not established that the National Chamber of Commerce and Automobile Repair and the operators of the driving schools hereinafter designated: Ms. Gobin (Gionne driving school), Mr. Duffier (Auto-school Center), Mr. Puned (Puned driving school), Mr. Vouzelaud (Jean Baffier driving school), Mr. Pasquet (Gibjoncs driving school), Mr. Leblanc (Pignoux driving school), Mr. Mouton (Turly driving school), Mr. Lamoureux (Pilot Center for Road Education driving school), Mr. Charbonnier (Airport driving school), Mr. Montagne (Saint-Bonnet driving school), in Bourges, Mr. Aléonard (Modern Driving School), Mr. Laurent (Victor-Hugo driving school), Ms. Matuszczak (Forges driving school), Mr. Bourrioux (Marché-au-Blé driving school), Mr. Cérou (Cérou driving school), in Vierzon, Mr. Pasdeloup (Pasdeloup driving school), in Saint-Martin-d'Auxigny, Ms. Labastie (Labastie driving school), in Dun-sur-Auron, Ms. Visage (Visage driving school), Mr. Blasquez (Blasquez driving school), Mr. Boissery (Boissery driving school), in Saint-Amand-Montrond, Mr. Blanchereau (Aubigny driving school), Miss Peiren (Center driving school), in Aubigny-sur-Nère, Mr. Hocquet (Hocquel driving school), in Aix-d'Anguillon, Ms. Battist (Coupances driving school), in Saint-Doulchard, Mr. Cutard (Saint-Germain driving school), in Saint-Germain-du-Puy, Mr. Antiquario (Antiquario driving school), in Le Guerche-sur-l'Aubois, Mr. Lavaud (Lavaud driving school), in Graçay, Mr. Lanz (Henrichemont driving school), in Henrichemont, Ms. Feuillet (Mehun driving school), in Mehun-sur-Yèvre, have violated the provisions of Article 50 of Ordinance No. 45-1483 of June 30, 1945, referred to above.  </w:t>
        <w:br/>
        <w:t xml:space="preserve">Deliberated in permanent commission, on the oral report of Mr. Zachmann, in its session of February 11, 1992,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