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https://www.autoritedelaconcurrence.fr/fr/decision/relative-des-pratiques-de-janssen-cilag-france-dans-le-secteur-pharmaceutique</w:t>
      </w:r>
    </w:p>
    <w:p>
      <w:r>
        <w:t>Pages translated : 29</w:t>
      </w:r>
    </w:p>
    <w:p/>
    <w:p>
      <w:r>
        <w:rPr>
          <w:b/>
        </w:rPr>
        <w:t>[Pages 1–3]</w:t>
      </w:r>
    </w:p>
    <w:p>
      <w:r>
        <w:t xml:space="preserve">FRENCH REPUBLIC  </w:t>
        <w:br/>
        <w:t xml:space="preserve">Decision No. 09-D-28 of July 31, 2009  </w:t>
        <w:br/>
        <w:t>regarding practices of Janssen-Cilag France in the pharmaceutical sector</w:t>
      </w:r>
    </w:p>
    <w:p>
      <w:r>
        <w:t xml:space="preserve">The Competition Authority (section V),  </w:t>
        <w:br/>
        <w:t xml:space="preserve">Having regard to the letter, registered on March 6, 2009, under numbers 09/0025 F and 09/0026 M, by which the company Ratiopharm referred to the Competition Authority practices of the company Janssen-Cilag France in the pharmaceutical sector and requested that interim measures be ordered on the basis of Article L. 464-1 of the Commercial Code;  </w:t>
        <w:br/>
        <w:t xml:space="preserve">Having regard to Article 81 or 82 of the EC Treaty;  </w:t>
        <w:br/>
        <w:t xml:space="preserve">Having regard to Book IV of the Commercial Code;  </w:t>
        <w:br/>
        <w:t xml:space="preserve">Having regard to the business secrecy decisions No. 09-DSA-72 of May 12, 2009; No. 09-DSA-78 of June 11, 2009; No. 09-DSA-83 of June 17, 2009; No. 09-DSA-85 of June 18, 2009; No. 09-DSA-89 of June 24, 2009; No. 09-DSA-94 and No. 09-DSA-95 of July 2, 2009;  </w:t>
        <w:br/>
        <w:t xml:space="preserve">Having regard to the other documents in the file;  </w:t>
        <w:br/>
        <w:t xml:space="preserve">Having regard to the observations presented by the company Ratiopharm, by the company Janssen-Cilag France, and by the Government Commissioner;  </w:t>
        <w:br/>
        <w:t xml:space="preserve">The rapporteur, the deputy general rapporteur, the Government Commissioner, the representatives of the company Ratiopharm and the company Janssen-Cilag France heard during the session of the Competition Authority on July 7, 2009;  </w:t>
        <w:br/>
        <w:t>Adopts the following decision:</w:t>
      </w:r>
    </w:p>
    <w:p>
      <w:r>
        <w:t xml:space="preserve">I. Findings  </w:t>
        <w:br/>
        <w:t xml:space="preserve">A. THE REFERRAL  </w:t>
        <w:br/>
        <w:t xml:space="preserve">1. By letter registered on March 6, 2009, the company Ratiopharm referred to the Competition Authority practices implemented by the company Janssen-Cilag France (hereinafter Janssen-Cilag) aimed at obstructing the marketing of its generic "fentanyl Ratiopharm, transdermal device." According to the referring party, Janssen-Cilag would hold a dominant position in the transdermal fentanyl market and would be abusing this position, on the one hand, by disparaging its generic and, on the other hand, by practicing prices that it qualifies as "predatory" during contracts awarded by hospitals or hospital purchasing groups. It accompanied its referral with a request for interim measures.  </w:t>
        <w:br/>
        <w:t xml:space="preserve">2. In this regard, the company Ratiopharm requests several types of measures, including:  </w:t>
        <w:br/>
        <w:t xml:space="preserve">the publication of a statement in various newspapers: Quotidien du Médecin, Moniteur du Pharmacien or Quotidien du Pharmacien, magazine la Douleur, Moniteur Hospitalier or Praticien Hospitalier, a statement that would briefly summarize the decision of the Competition Authority and remind, on the one hand, that substitution by the pharmacist is possible and, on the other hand, that the warning from the French Health Products Safety Agency (AFSSAPS) concerns both the substitution of the original product by the generic and vice versa;  </w:t>
        <w:br/>
        <w:t xml:space="preserve">the dissemination of nominative information by Janssen-Cilag to all doctors and pharmacists who have been the target of the alleged disparagement practices of Janssen-Cilag;  </w:t>
        <w:br/>
        <w:t xml:space="preserve">the prohibition of any event or conference organized by Janssen-Cilag aimed at conveying the idea, directly or indirectly, that the generic would not be bio-equivalent to the original product and that, in fact, substitution would be discouraged or even prohibited, whether during treatment or not;  </w:t>
        <w:br/>
        <w:t xml:space="preserve">the suspension of any response to a tender at a predatory price, as defined by French or community case law.  </w:t>
        <w:br/>
        <w:t xml:space="preserve">3. For the examination of the referral, after authorization from the judge of freedoms and detention of Nanterre granted on April 28, 2009, search and seizure operations were notably carried out at the headquarters of the Janssen-Cilag laboratory, located in Issy-les-Moulineaux.  </w:t>
        <w:br/>
        <w:t xml:space="preserve">B. THE PRODUCTS CONCERNED AND THE HISTORY OF THEIR MARKET ENTRY  </w:t>
        <w:br/>
        <w:t xml:space="preserve">4. Fentanyl - according to the international nonproprietary name (INN) - is a potent opioid analgesic with a narrow therapeutic margin used in pain management. By "narrow therapeutic margin," it should be understood that any variation in the concentration of the product in the body may potentially lead to adverse effects.  </w:t>
        <w:br/>
        <w:t xml:space="preserve">5. It is classified by the World Health Organization (WHO) among the analgesics of level III, which are capable of combating severe pain. The WHO has indeed conducted an assessment of pain intensity, with a scale comprising three levels, and listed the various active ingredients capable of addressing these different types of pain. According to the WHO, level I pain can be treated with NSAIDs (non-steroidal anti-inflammatory drugs), paracetamol, or aspirin; level II pain can be treated with codeine, nalbuphine, and tramadol; and level III pain can be treated with pethidine, morphine, nalbuphine, or fentanyl.  </w:t>
        <w:br/>
        <w:t xml:space="preserve">6. However, fentanyl is considered a second-line product, meaning it is prescribed in cases where other analgesics (notably morphine) have failed.  </w:t>
        <w:br/>
        <w:t xml:space="preserve">7. Indeed, fentanyl is a powerful opioid analgesic whose analgesic potential is equivalent to 80 times that of morphine. This is why it is classified in the category of narcotics. It is dispensed by prescription. The treatment indicated on this prescription cannot exceed a duration of 28 days divided into 2 times, which means that the pharmacist can only dispense the product for 14 days of treatment.  </w:t>
        <w:br/>
        <w:t xml:space="preserve">8. Human respiratory activity is notably linked to the mechanism of pain perception; fentanyl, by acting on this mechanism, disrupts the former. Therefore, there is a risk of respiratory depression for the patient using fentanyl related to the administration of the analgesic itself. To mitigate this risk, the physician must perform titration when initiating treatment to determine with the patient the appropriate dose based on their individual characteristics, that is, the dose that allows pain reduction without affecting respiratory function.  </w:t>
        <w:br/>
        <w:t xml:space="preserve">9. In the event of a change in specialty, the physician must monitor their patient to ensure the maintenance of this appropriate dose. Underdosing or overdosing of fentanyl can indeed pose a risk, particularly for certain patients, such as children or the elderly.  </w:t>
        <w:br/>
        <w:t xml:space="preserve">10. Given the characteristics of the product, AFSSAPS, by decision of December 10, 2008, accompanied the registration of Ratiopharm's generic in the generic directory with a specific warning. It sought to highlight to healthcare professionals the risks that certain patients (elderly, children, or febrile patients) could face in the event of a change in fentanyl-based specialty and the necessity of conducting careful medical monitoring of these patients in case of substitution.  </w:t>
        <w:br/>
        <w:t xml:space="preserve">11. There are several pharmaceutical forms of fentanyl:  </w:t>
        <w:br/>
        <w:t xml:space="preserve">in injectable syringe (fentanyl citrate), fentanyl is used in this form in hospitals for preoperative anesthesia;  </w:t>
        <w:br/>
        <w:t xml:space="preserve">in tablets with buccal applicator (fentanyl citrate), for the treatment of paroxysmal painful episodes, that is, for the treatment of transient exacerbations of a chronic pain otherwise controlled by a background treatment;  </w:t>
        <w:br/>
        <w:t>in transdermal device ("patch"), indicated in the treatment of severe chronic pain.</w:t>
      </w:r>
    </w:p>
    <w:p>
      <w:r>
        <w:rPr>
          <w:b/>
        </w:rPr>
        <w:t>[Pages 4–6]</w:t>
      </w:r>
    </w:p>
    <w:p>
      <w:r>
        <w:t>12. The marketing of fentanyl in transdermal form in France began in March 1998. Janssen-Cilag initially sold "reservoir patches" in pharmacies and hospitals in four different dosages: 25 µg/h, 50 µg/h, 75 µg/h, and 100 µg/h. A reservoir patch is a patch that has a small reservoir containing fentanyl. Then, in January 2005, with a simple variation of the marketing authorization (MA), it launched the marketing of new types of patches, in matrix form, with an additional dosage (12 µg/h). A matrix patch employs a transdermal technology in which fentanyl is evenly dissolved in the adhesive layer. The name of the product in matrix form remained the same as the previous one: "Durogesic® transdermal device."</w:t>
      </w:r>
    </w:p>
    <w:p>
      <w:r>
        <w:t>13. The market for pain relief patches is a constantly growing market, due to two factors: the increasing awareness of doctors regarding pain and, correspondingly, the development of prescriptions not only for the treatment of cancer-related pain but also for treating non-cancerous pain (for example, polyarthritis), particularly since the extension of the MA obtained by Janssen-Cilag in March 2008.</w:t>
      </w:r>
    </w:p>
    <w:p>
      <w:r>
        <w:t>14. On December 10, 2008, Ratiopharm launched in France the marketing of the competing generic of Durogesic®, also in transdermal form (matrix form) in five dosages of 12 µg/h, 25 µg/h, 50 µg/h, 75 µg/h, and 100 µg/h.</w:t>
      </w:r>
    </w:p>
    <w:p>
      <w:r>
        <w:t>15. Given the characteristics of the product, AFSSAPS accompanied the listing in the generic directory with a warning worded as follows: "Fentanyl is a powerful opioid analgesic with a narrow therapeutic margin. As indicated in the section 'special warnings and precautions for use' in the summary of product characteristics (SPC), it is reminded that: significant increases in body temperature may accelerate the absorption of fentanyl. Therefore, febrile patients should be monitored for potential adverse effects of opioids; elderly patients and children (aged 2 to 16 years) may be more sensitive to the active substance. Given the possible interindividual variations that may occur in some elderly patients or certain children and to prevent any risk of overdose and underdose, careful monitoring of the patient during treatment is particularly necessary in the event of a change of fentanyl-based specialty (reference specialty to generic specialty, generic specialty to reference specialty, or generic specialty to generic specialty)."</w:t>
      </w:r>
    </w:p>
    <w:p>
      <w:r>
        <w:t>16. The manufacturer's price excluding tax of the generic is 30% lower than the price of Durogesic, which corresponds to a public selling price 26% lower than that of the reference product.</w:t>
      </w:r>
    </w:p>
    <w:p>
      <w:r>
        <w:t>17. The 2009 prices of products sold in pharmacies are shown in the table below:</w:t>
      </w:r>
    </w:p>
    <w:p>
      <w:r>
        <w:t xml:space="preserve">Dosages Price Generic Price  </w:t>
        <w:br/>
        <w:t xml:space="preserve">Janssen-Cilag Ratiopharm  </w:t>
        <w:br/>
        <w:t xml:space="preserve">12 µg €31.10 €23.69  </w:t>
        <w:br/>
        <w:t xml:space="preserve">25 µg €42.38 €32.16  </w:t>
        <w:br/>
        <w:t xml:space="preserve">50 µg €70.40 €52.53  </w:t>
        <w:br/>
        <w:t xml:space="preserve">75 µg €95.61 €70.83  </w:t>
        <w:br/>
        <w:t>100 µg €116.18 €85.76</w:t>
      </w:r>
    </w:p>
    <w:p>
      <w:r>
        <w:t>18. Other laboratories have obtained marketing authorizations to commercialize products whose active ingredient is fentanyl in transdermal form. These are either generic products (Winthrop) or "essentially similar" products (Nycomed). These products only began to be sold in 2009.</w:t>
      </w:r>
    </w:p>
    <w:p>
      <w:r>
        <w:t>C. THE PARTIES CONCERNED</w:t>
      </w:r>
    </w:p>
    <w:p>
      <w:r>
        <w:t xml:space="preserve">1. THE COMPANY RATIOPHARM  </w:t>
        <w:br/>
        <w:t>19. The Ratiopharm GmbH group, under German law, specializes in the manufacture and distribution of generic medicines. It ranks 4th worldwide among generic manufacturers, with a turnover of 1.9 billion euros. Its French subsidiary, Ratiopharm, was established in 1992. It markets 284 generic presentations, representing 80% of the directory. It would hold a 2.3% market share of generic medicines in France. In 2008, its turnover reached 139.3 million euros.</w:t>
      </w:r>
    </w:p>
    <w:p>
      <w:r>
        <w:t xml:space="preserve">2. THE COMPANY JANSSEN-CILAG FRANCE  </w:t>
        <w:br/>
        <w:t>20. Janssen-Cilag is the French subsidiary of the American group Johnson &amp; Johnson, a publicly traded American company listed on the New York Stock Exchange and ranked 7th among global pharmaceutical laboratories, with a worldwide turnover of 18.1 billion euros in 2007 and a turnover in France of 783 million euros in 2006.</w:t>
      </w:r>
    </w:p>
    <w:p>
      <w:r>
        <w:t>D. THE ALLEGED PRACTICES</w:t>
      </w:r>
    </w:p>
    <w:p>
      <w:r>
        <w:t>21. Ratiopharm alleges that Janssen-Cilag engaged in three types of practices that it qualifies as anti-competitive:</w:t>
      </w:r>
    </w:p>
    <w:p>
      <w:r>
        <w:t xml:space="preserve">Actions with AFSSAPS  </w:t>
        <w:br/>
        <w:t>22. The complainant accuses Janssen-Cilag, first of all, of exerting pressure on the French Health Products Safety Agency (AFSSAPS) to, according to it, prevent the issuance of the MA and the obtaining of generic status for Ratiopharm's fentanyl patches.</w:t>
      </w:r>
    </w:p>
    <w:p>
      <w:r>
        <w:t>23. It states that it initiated requests for MAs for its specialties with the community authorities under the mutual recognition procedure provided for by Community Directive No. 2001/83/EC and that the requests were submitted and processed according to the abbreviated procedure applicable only to specialties meeting the definition of a generic drug. It specifies that these requests were filed at the European level, on July 6, 2006, for the 25 µg, 50 µg, 75 µg, and 100 µg forms and on September 14, 2007, for the 12 µg. The European Commission issued a favorable opinion on October 23, 2007.</w:t>
      </w:r>
    </w:p>
    <w:p>
      <w:r>
        <w:t>24. It indicates that, in accordance with Article 34 of the aforementioned directive, it notified this community decision of MA to the French authorities. This notification should have led, within thirty days following the notification, to the issuance by AFSSAPS of the MAs for its products. However, these MAs were granted on July 28 and 29, 2008.</w:t>
      </w:r>
    </w:p>
    <w:p>
      <w:r>
        <w:t>25. Furthermore, the complainant specifies that it had to wait until November 13, 2008, to obtain generic status and until December 10, 2008, for the listing in the generic directory. It should be noted that all of these authorizations are necessary to market a generic drug and allow the pharmacist to proceed with the substitution of the generic for the reference product. Indeed, if the specialty is listed in the generic directory, the pharmacist's right of substitution becomes effective. Conversely, if it is not, the pharmacist must strictly adhere to the physician's prescription. Moreover, it points out that this listing in the generic directory was accompanied by a "warning" from AFSSAPS, which it claims is the result of Janssen-Cilag's actions with the Agency. Finally, it indicates that this type of practice was mentioned in the interim report of the European Commission in these terms (free translation): "A widespread practice among certain innovative companies is to write to the drug authorities to express their concerns regarding the MA requests submitted by generic companies."</w:t>
      </w:r>
    </w:p>
    <w:p>
      <w:r>
        <w:t xml:space="preserve">Denigration Campaign  </w:t>
        <w:br/>
        <w:t>26. The complainant states, secondly, that a denigration campaign organized by Janssen-Cilag would have obstructed the marketing of its products in pharmacies.</w:t>
      </w:r>
    </w:p>
    <w:p>
      <w:r>
        <w:t>27. This campaign would have relied on an initial letter dated November 27, 2008, disseminated in the press, in which Janssen-Cilag would assert that the Director General of AFSSAPS mentioned risks related to substitution, particularly from the reference product to the generic.</w:t>
      </w:r>
    </w:p>
    <w:p>
      <w:r>
        <w:t>28. According to the complainant, the denigration continued with the sending of another letter (undated) addressed to a large number of pharmacists and doctors, partially reiterating the terms of the first letter but emphasizing the risks of substitution, particularly highlighting potential problems of underdosing or overdosing of fentanyl that could occur.</w:t>
      </w:r>
    </w:p>
    <w:p>
      <w:r>
        <w:t>29. Ratiopharm also alleges that Janssen-Cilag subsequently continued its denigration campaign through phone calls and emails directed at pharmacists and doctors, using the same arguments, and adding the absence of bioequivalence between the reference drug and the generic, and insisting on the risk, for these professionals, that their liability could be engaged if they prescribed or dispensed the generic.</w:t>
      </w:r>
    </w:p>
    <w:p>
      <w:r>
        <w:rPr>
          <w:b/>
        </w:rPr>
        <w:t>[Pages 7–9]</w:t>
      </w:r>
    </w:p>
    <w:p>
      <w:r>
        <w:t xml:space="preserve">30. According to the complainant, meetings were also allegedly organized under the auspices of the wholesaler-distributor OCP during which doctors disseminated the same type of allegations to an audience of pharmacists and physicians.  </w:t>
        <w:br/>
        <w:t xml:space="preserve">31. In its complaint, Ratiopharm provides ten testimonies from pharmacists who indicated that they either received a letter highlighting the risks of substitution, which may have been sent to them multiple times, or received phone calls from a person explaining that their liability could be engaged if they sold a generic to a patient who subsequently experienced a medical issue.  </w:t>
        <w:br/>
        <w:t xml:space="preserve">Predatory Pricing Practices  </w:t>
        <w:br/>
        <w:t xml:space="preserve">32. Finally, thirdly, Ratiopharm accuses Janssen-Cilag of engaging in predatory pricing in the hospital market where its product is also sold.  </w:t>
        <w:br/>
        <w:t xml:space="preserve">33. Thus, during a consultation for a contract related to the calendar year 2009, organized by the Saint-Etienne University Hospital for 29 university hospitals and CHUs, Ratiopharm specifies that Janssen-Cilag offered its product "Durogesic transdermal device®" at almost no cost in various dosages.  </w:t>
        <w:br/>
        <w:t xml:space="preserve">34. Ratiopharm adds that the previous year, in 2008, the Janssen-Cilag laboratory had proposed for the same market (which it won) a price of 800,000 euros for a number of patches almost equivalent to that of the year 2009.  </w:t>
        <w:br/>
        <w:t xml:space="preserve">E. IDENTIFIED BEHAVIORS  </w:t>
        <w:br/>
        <w:t xml:space="preserve">1. ACTIONS TAKEN WITH AFSSAPS  </w:t>
        <w:br/>
        <w:t xml:space="preserve">35. The company Ratiopharm communicated in support of its referral two letters from Janssen-Cilag to AFSSAPS, dated March 25, 2008, and April 14, 2008, respectively.  </w:t>
        <w:br/>
        <w:t xml:space="preserve">36. These letters are part of the regulatory procedure within AFSSAPS, at the end of which the Health Authority must grant a marketing authorization to Ratiopharm's product, then the generic status. Janssen-Cilag develops an argument regarding the absence of bioequivalence between the reference product and the generic, and consequently, the impossibility of recognizing the generic status of Ratiopharm's specialty.  </w:t>
        <w:br/>
        <w:t xml:space="preserve">2. ACTIONS TAKEN TOWARDS HEALTH PROFESSIONALS  </w:t>
        <w:br/>
        <w:t xml:space="preserve">The Press Release  </w:t>
        <w:br/>
        <w:t xml:space="preserve">37. Firstly, Ratiopharm provided in support of its referral a copy of a letter dated November 27, 2008, written by the responsible pharmacist/vice president of pharmaceutical affairs of Janssen-Cilag, and the vice president of scientific and medical affairs, published in the Quotidien du médecin on December 18, 20084 and which, according to the complainant, was published in other medical press journals or dailies.  </w:t>
        <w:br/>
        <w:t xml:space="preserve">38. This letter refers to the warning from AFSSAPS but with a presentation intended to dissuade pharmacists from substituting the reference product with the generic.  </w:t>
        <w:br/>
        <w:t xml:space="preserve">39. An excerpt from this letter indeed specifies: AFSSAPS "has decided to clarify that any change during treatment with a transdermal system based on Fentanyl, and in particular the substitution of the reference specialty Durogesic® with the generic specialty, could pose a particular risk to the health of certain patients and under certain conditions of use." [Emphasis added.]  </w:t>
        <w:br/>
        <w:t xml:space="preserve">40. Ratiopharm also communicated a letter that AFSSAPS sent on February 12, 2009, to Janssen-Cilag to clearly explain the scope of this "warning" and eliminate any ambiguity.  </w:t>
        <w:br/>
        <w:t xml:space="preserve">41. "I emphasize in this regard that if the Agency deemed it necessary to remind, within the framework of a warning, the need for careful patient monitoring in the event of a change in specialty based on Fentanyl, it explicitly intended to cover all possible cases of change, without any distinction or hierarchy (...). It is important to keep in mind that the types of therapeutic situations justifying this careful monitoring were already mentioned in the section 'Special warnings and precautions for use' of the summary of product characteristics for Fentanyl (...). Finally, while it is true that, as noted in the third paragraph of your laboratory's letter, this is the first time a warning will appear in the generic directory, it should be recalled that the possibility of providing such a warning is very recent, as it was introduced by Article 5 of the decree of May 6, 2008, relating to the marketing of pharmaceutical specialties for human use. I felt it necessary to make these comments to you in order to dispel any ambiguity regarding the scope of the Agency's decision, which aimed not to obstruct any substitution at the very moment when the registration in the directory was pronounced but to draw the attention of health professionals to the necessary precautions in the event of a change in specialty for this medication." [Emphasis added.]  </w:t>
        <w:br/>
        <w:t xml:space="preserve">42. It emerges from this letter from AFSSAPS that the warning was provided by AFSSAPS to remind the necessity of careful patient monitoring in the event of a change in specialty, which did not specifically target the change from the reference product to a generic.  </w:t>
        <w:br/>
        <w:t xml:space="preserve">The Letters Addressed to Pharmacists  </w:t>
        <w:br/>
        <w:t xml:space="preserve">43. A second letter written by the responsible pharmacist/vice president of pharmaceutical affairs of Janssen-Cilag, and the vice president of scientific and medical affairs is also included in the file submitted by Ratiopharm. It is attached to copies of invoices for the purchase of Durogesic, dated February 18, 2009. The letter annexed to these invoices repeats the terms of the previous letter but without using the adverb "notably." However, it contains three additional paragraphs on the risks of overdose or underdose.  </w:t>
        <w:br/>
        <w:t xml:space="preserve">44. Mr. A…, from pharmacy A to Z, indicated that these letters were also distributed by OCP at the same time as this wholesaler delivered the generic.  </w:t>
        <w:br/>
        <w:t xml:space="preserve">45. In support of the allegation of disparagement, Ratiopharm also produces several testimonies from pharmacists attesting to the receipt of these letters in multiple copies.  </w:t>
        <w:br/>
        <w:t xml:space="preserve">Phone Calls and Supply Difficulties  </w:t>
        <w:br/>
        <w:t xml:space="preserve">46. These same pharmacists stated that they received repeated phone calls several times a week from representatives of Janssen-Cilag regarding the risk of substitution.  </w:t>
        <w:br/>
        <w:t xml:space="preserve">47. Thus, Mr. Z.5, a pharmacist in W. (31), confided "that he had been intensely contacted by phone by representatives of Janssen-Cilag – some of whom claimed to be 'doctors', for about fifteen consecutive days, with the message being that substitution is discouraged if the pharmacist does not want to risk engaging his liability."  </w:t>
        <w:br/>
        <w:t xml:space="preserve">48. Mr. X.6, a pharmacist in Y. (57), stated that he had been "flooded with letters and emails (nearly fifteen) from Janssen-Cilag urging him not to substitute during treatment – relying, for this purpose, on the warnings from AFSSAPS."  </w:t>
        <w:br/>
        <w:t xml:space="preserve">49. A pharmacist's testimony, collected during the investigation, confirms this campaign of phone calls, which he had mentioned to Ratiopharm, indicating that he had received phone calls regarding the substitution of Durogesic several times a week.  </w:t>
        <w:br/>
        <w:t xml:space="preserve">50. Mr. A…7, from pharmacy A to Z. (73), located near a retirement home, stated that he had "been inundated with faxes repeating the terms of the Janssen-Cilag letter dated November 27, 2008." He also indicated that he "received a visit from a Janssen-Cilag representative assuring him that substitution should not occur because the reference product and the generic were not equivalent at all and of the same quality." He further specified that he had received a call from a person presenting themselves as a "doctor" working for Janssen-Cilag who indicated to him that he risked engaging his liability if he substituted because the two products were not completely equivalent and that there were serious risks of potentially fatal overdose. He also reported "the extreme difficulty he had in obtaining Ratiopharm fentanyl patches from OCP in Annecy, his exclusive wholesaler: the latter indicated to him that they did not have these patches available – only having the reference product in stock. He was referred to OCP in Lyon, which returned the same response." He concluded that he had "difficulties in obtaining supplies and had to wait until the end of December [2008] to receive the Ratiopharm fentanyl patches he had ordered, which caused him to lose a month. Since then, these problems have been resolved and he is now receiving deliveries of the generic fentanyl patches he orders from OCP." [Emphasis added.]  </w:t>
        <w:br/>
        <w:t xml:space="preserve">The Holding of Information Meetings for Pharmacists  </w:t>
        <w:br/>
        <w:t xml:space="preserve">51. Other testimonies from pharmacists mention the organization of meetings by OCP on February 5 and 19 (postponed to April 16) and March 12, 2009, to provide information on the supposed dangers of substitution with the generic due to the significant differences that would exist between the generic and the reference product, notably: the reservoir form for the generic versus the matrix form for the reference product, the absence of equivalence regarding the dose released into the blood.  </w:t>
        <w:br/>
        <w:t>It should be noted that this information is incorrect since the generic is also of matrix form and that bioequivalence aimed, precisely, to verify that the amount of product released into the blood was the same for the reference product and the generic and followed the same diffusion curve over time.</w:t>
      </w:r>
    </w:p>
    <w:p>
      <w:r>
        <w:rPr>
          <w:b/>
        </w:rPr>
        <w:t>[Pages 10–12]</w:t>
      </w:r>
    </w:p>
    <w:p>
      <w:r>
        <w:t xml:space="preserve">Les déclarations de Janssen-Cilag sur ces différentes actions  </w:t>
        <w:br/>
        <w:t xml:space="preserve">52. During the investigation, the head of commercial affairs and business development of Janssen-Cilag France confirmed, during his hearing on June 3, 2009, that Janssen-Cilag had decided "to raise awareness among pharmacists before the publication of the warning in the generic directory, by disseminating a letter from the responsible pharmacist of Janssen-Cilag regarding the risks of substitution during treatment, without medical supervision, risks that, in our opinion, could have been attributed to Durogesic. We stopped disseminating the letter in February 2009." [Emphasis added]  </w:t>
        <w:br/>
        <w:t xml:space="preserve">53. He then indicated that he was aware that "among the means that were used to warn pharmacists, the OCP included, with the delivery of our product, a letter from the responsible pharmacist of Janssen reiterating the warning and probably at our request." [Emphasis added.] Janssen-Cilag also provided the invoices related to this service provided by the OCP, but also by Alliance Healthcare (another wholesaler) in December 2008 and January 2009. These invoices attest to the reality of the service provided by the OCP.  </w:t>
        <w:br/>
        <w:t xml:space="preserve">54. According to the head of commercial affairs and business development of Janssen-Cilag France, two successive versions of this letter were drafted by the responsible pharmacist/vice president of pharmaceutical affairs of Janssen-Cilag, and the vice president of scientific and medical affairs. They were distributed to pharmacists until February 12, 2009, at the same time as the Durogesic that was delivered to them: a first version in which the following sentence appears: "The Director of AFSSAPS has decided to specify that any change during treatment of transdermal fentanyl system, and in particular the substitution of the reference specialty of Durogesic by the generic specialty may pose a particular risk to the health of certain patients under certain conditions of use," [emphasis added] and a second version without this sentence, but with paragraphs describing the risks of overdose ("risk of potentially fatal respiratory depression in the absence of respiratory assistance measures in patients treated on an outpatient basis and therefore outside care structures with resuscitation means") of underdosing ("risk of resurgence of pain and new titration in search of the effective dose of the fentanyl patch in case of change during treatment and in this situation, the administration of additional doses of fast-acting morphine may be necessary, which then implies appropriate medical management") and informing that this warning is now included in the product characteristics directory (RCP) of Durogesic.  </w:t>
        <w:br/>
        <w:t xml:space="preserve">55. According to the head of the logistics chain, heard on June 9, 2009, the distribution of this letter would have lasted until February 12, 2009. It should be noted that this date corresponds to the aforementioned AFSSAPS statement, whose letter is dated February 12, 2009.  </w:t>
        <w:br/>
        <w:t xml:space="preserve">56. The head of commercial affairs and business development of Janssen-Cilag France also specified that a "telephone call campaign was conducted by the Depolabo call center to pharmacies, in addition to the pharmacies visited by Distriphar. There were several waves of calls, as for the usual campaigns organized by Depolabo." An email communicated by Janssen-Cilag, dated October 22, 2008, indicates that this telephone call campaign, in several waves, began on Monday, October 27, 2008.  </w:t>
        <w:br/>
        <w:t xml:space="preserve">3. PRICE OFFERS TO HOSPITALS  </w:t>
        <w:br/>
        <w:t xml:space="preserve">57. In its referral, Ratiopharm reports an almost negligible price offer to a hospital group (named UNI-HA) consisting of 29 university hospitals or hospitals, coordinated by the Saint Etienne Hospital, for a contract awarded for the calendar year 2009, on November 26, 2008.  </w:t>
        <w:br/>
        <w:t xml:space="preserve">58. Janssen-Cilag communicated other low or very low price offers that were made either at the end of 2008 or in 2009, to groups or public hospitals. In some cases, almost negligible prices were offered to certain groups, for example to the RESAH-IDF group, to AGEPS, which is the agency responsible for conducting drug and medical device tenders on behalf of the hospitals of the Public Assistance of Paris, the Escaut-Lys group, the Champagne Ardennes group, the Lorraine Nord Group.  </w:t>
        <w:br/>
        <w:t xml:space="preserve">59. Furthermore, low price offers also concerned purchasing groups of private clinics such as club H (Helpevia), CACIC, CAHP. For this type of group, the procedure results in the referencing of one or more specialties, and the member clinics of the group then have the choice of the specialty. However, as with hospitals, the price criterion prevails. This means that even if there is dual referencing, the cheapest product generally wins all orders.  </w:t>
        <w:br/>
        <w:t xml:space="preserve">II. Discussion  </w:t>
        <w:br/>
        <w:t xml:space="preserve">A. ON THE ALLOCATION OF INTRA-COMMUNITY TRADE  </w:t>
        <w:br/>
        <w:t xml:space="preserve">60. Article 82 of the EC Treaty states that "any abuse by one or more undertakings of a dominant position within the common market or in a substantial part of it is incompatible with the common market and prohibited, insofar as it may affect trade between Member States."  </w:t>
        <w:br/>
        <w:t xml:space="preserve">61. Under the decision-making practice of the Competition Council, based in particular on the European Commission's guidelines regarding the notion of trade allocation set out in Articles 81 and 82 of the EC Treaty of April 27, 2004 (2004/C 101/07), three elements must be demonstrated to establish that the practices are likely to have significantly affected intra-community trade: the existence of exchanges between Member States concerning the products subject to the practice, the existence of practices likely to affect these exchanges, and the sensitive nature of this effect. Paragraph 93 of the aforementioned European Commission guidelines states that "when a company occupying a dominant position covering an entire Member State constitutes an abusive barrier to entry, trade between Member States may normally be affected."  </w:t>
        <w:br/>
        <w:t xml:space="preserve">62. Regarding the sensitive nature of the effect on trade, the same guidelines specify in paragraph 96 that "any abusive practice that makes entry into the national market more difficult must therefore be considered as significantly affecting trade."  </w:t>
        <w:br/>
        <w:t xml:space="preserve">63. First of all, Janssen-Cilag is presumed to hold a dominant position in the French markets for the supply of fentanyl patches in the city and in hospitals, as will be established further on. Furthermore, Ratiopharm is a laboratory whose registered office is located in Germany and which develops its activities in several Member States of the European Union, including France. The fentanyl patches marketed in France by Ratiopharm are manufactured in Germany. Janssen-Cilag's practices, if proven, could therefore be likely to significantly affect intra-community trade.  </w:t>
        <w:br/>
        <w:t xml:space="preserve">B. ON THE PROCEDURE  </w:t>
        <w:br/>
        <w:t xml:space="preserve">64. The Janssen-Cilag laboratory contests the value of the testimonies of pharmacists collected by Ratiopharm, indicating that they did not provide a copy of their identity card and that thus their statements could not be verified.  </w:t>
        <w:br/>
        <w:t xml:space="preserve">65. However, the evidentiary regime before the Competition Authority does not imply formalism: the names, addresses, and phone numbers of the pharmacists easily allow for the verification of the accuracy of these testimonies. Such verification has indeed been carried out with several of the pharmacists. In this regard, the file includes the hearing report of one of these pharmacists as well as the email from Mr. A..., pharmacist. Both confirmed their previous statements.  </w:t>
        <w:br/>
        <w:t xml:space="preserve">66. Furthermore, it should be emphasized that the evidence of disparagement in this case is primarily constituted by the first letter from Janssen-Cilag, dated November 27, 2008, and published by the Quotidien du médecin on December 18, 2008, by the second letter from Janssen-Cilag sent directly to retail pharmacists until February 12, 2009, accompanying the deliveries of Durogesic, and by the letter from AFSSAPS dated February 12, 2009. The testimonies of the pharmacists constitute, as evidence, a complement to the aforementioned documents.  </w:t>
        <w:br/>
        <w:t xml:space="preserve">C. ON THE PRACTICES  </w:t>
        <w:br/>
        <w:t xml:space="preserve">1. THE RELEVANT MARKET  </w:t>
        <w:br/>
        <w:t>67. Regarding pharmaceutical specialties, both national and community case law considers that the possibilities of substitution between medicines are limited by their respective therapeutic indications and contraindications, which themselves depend on the pharmacological properties of the products, but also on the opinions of prescribing physicians, as well as any price discrepancies. The Court of Cassation thus approved in its ruling "Lilly France" of June 15, 1999, the Court of Appeal which had considered that: "the interchangeability of medicines does not fundamentally depend on their physical or chemical identity, but on their functional interchangeability from the dispenser's point of view, and therefore, in the case of prescription medicines, also from the perspective of established physicians." In the same ruling, the Court of Cassation</w:t>
      </w:r>
    </w:p>
    <w:p>
      <w:r>
        <w:rPr>
          <w:b/>
        </w:rPr>
        <w:t>[Pages 13–15]</w:t>
      </w:r>
    </w:p>
    <w:p>
      <w:r>
        <w:t>considered that "if, to delineate the reference market of a drug, the third level [of the ATC classification] is useful, this classification may be too narrow or too broad for certain drugs."</w:t>
      </w:r>
    </w:p>
    <w:p>
      <w:r>
        <w:t>68. In the case at hand, the practices concern Durogesic, a transdermal device, whose active ingredient is fentanyl. Its indications are: "the treatment of severe chronic pain that can only be adequately treated with opioid analgesics." This drug is part of the therapeutic class of drugs acting on the nervous system, a therapeutic class corresponding to letter N in the ATC classification. It is therefore used to treat any type of severe pain, whether related to cancer or not, but it is only prescribed as a second-line treatment.</w:t>
      </w:r>
    </w:p>
    <w:p>
      <w:r>
        <w:t>69. Fentanyl is listed at the 3rd level of the ATC classification in the family of opioids. At this same level are classified the natural alkaloids of opium among which are morphine, opium, hydromorphone, and oxycodone. Fentanyl is classified in the category of phenylpiperidine derivatives where ketobemidone and pethidine are also included, either alone or in combination with other products (psycholeptics or others). At the third level are also nalbuphine and butorphanol, in the category "morphinan derivatives."</w:t>
      </w:r>
    </w:p>
    <w:p>
      <w:r>
        <w:t>70. Among all the products listed at the 3rd level of the ATC classification, it is necessary to study the substitutability of fentanyl with only those specialties that have the same therapeutic indications, that is to say, all strong opioid analgesics corresponding to WHO step III for the treatment of pain. The WHO specifies that these are morphine, nalbuphine, and pethidine.</w:t>
      </w:r>
    </w:p>
    <w:p>
      <w:r>
        <w:t>71. There are three marketed specialties whose active ingredient is morphine (morphine sulfate): these are Skénan, marketed by Bristol-Myers Squibb since 2003, Moscontin, marketed by Mundipharma since 2003, and Kapanol, marketed by GSK since 2001.</w:t>
      </w:r>
    </w:p>
    <w:p>
      <w:r>
        <w:t>72. These three specialties are available in the form of capsules or prolonged-release tablets in different dosages. Their indication is for the treatment of intense pain of cancerous and non-cancerous origin, as a first-line treatment. They are classified in the category of narcotics.</w:t>
      </w:r>
    </w:p>
    <w:p>
      <w:r>
        <w:t>73. Nalbuphine is marketed in injectable form. It is twice less effective than morphine administered orally, which is why it is classified by the WHO for treating step II and step III pain. It is administered as a first-line treatment.</w:t>
      </w:r>
    </w:p>
    <w:p>
      <w:r>
        <w:t>74. Pethidine is also marketed in injectable form (pethidine Renaudin). It is rarely used, as evidenced by its low turnover due to its side effects (addiction). It is administered as a first-line treatment.</w:t>
      </w:r>
    </w:p>
    <w:p>
      <w:r>
        <w:t>75. Prima facie, all these products appear substitutable for fentanyl since they have a priori the same therapeutic indications. But a closer examination reveals significant differences between these products and fentanyl.</w:t>
      </w:r>
    </w:p>
    <w:p>
      <w:r>
        <w:t>76. Firstly, fentanyl is a second-line product, meaning it is prescribed once other treatments have been administered, unlike the other specialties which are prescribed as first-line treatments. This difference in indication is related to the fact that fentanyl is much more effective than the other products: 80 times more effective than morphine or nalbuphine, which is itself six times more effective than pethidine.</w:t>
      </w:r>
    </w:p>
    <w:p>
      <w:r>
        <w:t>77. Secondly, the galenic form is not the same. Fentanyl is delivered via a transdermal device while the other products (morphine, pethidine, nalbuphine) are sold either exclusively in injectable form or in oral form, but never in patch form. This difference in galenic form influences side effects or contraindications: for example, nalbuphine is contraindicated in renal insufficiency. These side effects or contraindications are lesser for fentanyl in patch form. Indeed, transdermal delivery may mitigate certain side effects, such as constipation, and avoids contraindications for patients with renal or hepatic insufficiency (such as elderly subjects).</w:t>
      </w:r>
    </w:p>
    <w:p>
      <w:r>
        <w:t>78. Other specialties could potentially be considered substitutable, as they are used by physicians in the treatment of step III pain. They are mentioned in the transparency report of AFSSAPS.</w:t>
      </w:r>
    </w:p>
    <w:p>
      <w:r>
        <w:t>79. First, there is Oxycontin, a powerful analgesic related to morphine whose active ingredient is oxycodone. This specialty is marketed by Mundipharma, in oral form, as a prolonged-release tablet. It is used in the treatment of refractory pain of cancerous origin, as a first-line treatment.</w:t>
      </w:r>
    </w:p>
    <w:p>
      <w:r>
        <w:t>80. Next is the specialty whose active ingredient is hydromorphone, marketed since 2008 by Mundipharma under the name Sophidone and indicated for the treatment of cancer pain. It is available in the form of a prolonged-release tablet (4 mg). It is also prescribed as a first-line treatment.</w:t>
      </w:r>
    </w:p>
    <w:p>
      <w:r>
        <w:t>81. These two specialties therefore have narrower indications than fentanyl, a transdermal device, as they are reserved for cancer. Furthermore, they are not marketed in patch form and are prescribed as first-line treatments.</w:t>
      </w:r>
    </w:p>
    <w:p>
      <w:r>
        <w:t>82. Finally, regarding the substitutability of other galenic forms of fentanyl with transdermal fentanyl, it should be noted that fentanyl in injectable form is used in anesthesia, that the form in tablets with a buccal applicator (fentanyl citrate) is reserved for the treatment of breakthrough pain, which is a completely different indication from that of fentanyl, used to treat chronic pain. These specialties therefore do not have the same indications.</w:t>
      </w:r>
    </w:p>
    <w:p>
      <w:r>
        <w:t>83. Similarly, immediate-release morphine specialties (Sevredol, Actiskénan, Orapmorph, or morphine Aguettant) which are indicated for treating breakthrough pain do not have the same therapeutic indications.</w:t>
      </w:r>
    </w:p>
    <w:p>
      <w:r>
        <w:t>84. Thus, in accordance with the decision-making practice of the Competition Council and community jurisprudence regarding the definition of relevant markets in the pharmaceutical sector, transdermal fentanyl could constitute a distinct market from other specialties indicated for the treatment of step III pain due to significant differences: on the one hand, the galenic forms are not the same and on the other hand, these other specialties are all prescribed as first-line treatments, unlike Durogesic which is prescribed as a second-line treatment, due to the much greater efficacy of the active ingredient.</w:t>
      </w:r>
    </w:p>
    <w:p>
      <w:r>
        <w:t>85. Janssen-Cilag argues that substitutability of fentanyl with other step III opioid analgesics should be admitted. It believes that its product, transdermal Durogesic, competes with other analgesics with prolonged-release morphine, particularly Skénan.</w:t>
      </w:r>
    </w:p>
    <w:p>
      <w:r>
        <w:t>86. However, this product, like other morphine products, is prescribed as a first-line treatment and does not appear substitutable for Durogesic. In a "Napp" decision of March 30, 2001, the Office of Fair Trading, the British competition authority, which had to study the substitution of prolonged-release step III morphine with Durogesic, concluded in this sense: "the investigation suggests that Durogesic is primarily used to address specific problems (for example, if the patient cannot swallow) as opposed to a first-line use of strong opioids; it is used as a second-line treatment; transdermal fentanyl is considered useful for a small number of patients, but too expensive for widespread use. Patches are considered interesting for patients with sensitivity or intolerance to the side effects of morphine: difficulty swallowing; young patients who want to maintain an active life, elderly patients, or those with memory problems to follow the treatment [with morphine in tablets], the main reason cited by those interviewed in the survey for initiating treatment with Durogesic is the side effects of prolonged-release morphine (MST): constipation, nausea, vomiting, sweating are all specifically mentioned."</w:t>
      </w:r>
    </w:p>
    <w:p>
      <w:r>
        <w:t>87. Furthermore, the Competition Council has, in its previous decision-making practice, usually distinguished the city market (pharmacies) from the hospital market. It did so in its decisions No. 07-MC-06 of December 11, 2007, concerning a request for interim measures submitted by Arrow Génériques, or No. 07-D-09 of March 14, 2007, concerning practices implemented by GlaxoSmithKline France.</w:t>
      </w:r>
    </w:p>
    <w:p>
      <w:r>
        <w:t>88. The Janssen-Cilag laboratory disputes this distinction, emphasizing the interdependence between the two distribution channels [city and hospital]. This link between the two markets, which it also refers to as the "source effect," would influence the formation of selling prices in hospitals, an ancillary component of sales in pharmacies, as only sales in the city would generate the product's profitability.</w:t>
      </w:r>
    </w:p>
    <w:p>
      <w:r>
        <w:t>89. According to Janssen-Cilag: "when determining its selling price in hospitals, a laboratory primarily considers the impact of its price on the demand that will be directed to it, this demand encompassing the number of patches that will be supplied through pharmacies throughout the treatment of patients (...) it follows from this characteristic of outpatient treatment 'city-hospital' that the important variable for the laboratory is therefore the revenue derived from the treatment of each patient and not just the revenue generated by sales in hospitals, and the price it chooses to set is therefore calculated with regard to the revenues for the treatment as a whole."</w:t>
      </w:r>
    </w:p>
    <w:p>
      <w:r>
        <w:t>90. However, even if the existence of a source effect has an impact on the definition of supply (through the calculation of profitability, and consequently the price of the product), this does not</w:t>
      </w:r>
    </w:p>
    <w:p>
      <w:r>
        <w:rPr>
          <w:b/>
        </w:rPr>
        <w:t>[Pages 16–18]</w:t>
      </w:r>
    </w:p>
    <w:p>
      <w:r>
        <w:t>seems not to justify a modification of the definition of the relevant market, which generally relies on an analysis of demand and the homogeneity of competitive conditions.</w:t>
      </w:r>
    </w:p>
    <w:p>
      <w:r>
        <w:t>91. Indeed, in this case, it seems that demand cannot be assessed globally because there is no substitutability between the demanders, who are on one side the patients (and ultimately the health insurance) and on the other the hospitals. Furthermore, the price elasticity of buyers is not the same: in hospitals it is high because the purchase price of medicines affects the hospitals' budget, whereas in the city it is low because prices are regulated, precisely to limit the cost of health expenditures paid by health insurance.</w:t>
      </w:r>
    </w:p>
    <w:p>
      <w:r>
        <w:t>92. In conclusion, at this stage of the investigation, the differences in operation between the two markets (city/hospital) do not seem to lead to the conclusion that there is a single market, even if they could be considered as likely related.</w:t>
      </w:r>
    </w:p>
    <w:p>
      <w:r>
        <w:t>93. Finally, in accordance with consistent case law in the pharmaceutical market, the market in question is of national dimension. This is evident in its decisions No. 07-MC-06 of December 11, 2007, concerning a request for interim measures presented by Arrow Génériques, or No. 07-D-09 of March 14, 2007, concerning practices implemented by GlaxoSmithKline France.</w:t>
      </w:r>
    </w:p>
    <w:p>
      <w:r>
        <w:t>94. It follows that at this stage of the investigation, it can be considered that the relevant markets in this case are the French markets for the supply of fentanyl in transdermal devices, both in the city and in hospitals.</w:t>
      </w:r>
    </w:p>
    <w:p>
      <w:r>
        <w:t>2. THE POSITION OF JANSSEN-CILAG IN THE MARKET IN QUESTION</w:t>
      </w:r>
    </w:p>
    <w:p>
      <w:r>
        <w:t>95. According to AFSSAPS, the markets for transdermal fentanyl generated a cumulative turnover of [80 to 85] million euros in 2008 (hospital + city).</w:t>
      </w:r>
    </w:p>
    <w:p>
      <w:r>
        <w:t>96. In 2008, the market shares of Janssen-Cilag and its competitors in the two considered markets were as follows:</w:t>
      </w:r>
    </w:p>
    <w:p>
      <w:r>
        <w:t xml:space="preserve">Market shares in value in 2008 (source AFSSAPS)  </w:t>
        <w:br/>
        <w:t xml:space="preserve">2008 City City market share Hospital Hospital market share  </w:t>
        <w:br/>
        <w:t xml:space="preserve">Janssen-Cilag [65-75 million €] [95%-100%] [10 to 15 million €] [95%-100%]  </w:t>
        <w:br/>
        <w:t xml:space="preserve">Ratiopharm [250,000 - 300,000 €] [0%-5%] [10-100,000 €] [0%-5%]  </w:t>
        <w:br/>
        <w:t>Total [65-75 million €] 100 % [10 - 15 million €] 100 %</w:t>
      </w:r>
    </w:p>
    <w:p>
      <w:r>
        <w:t xml:space="preserve">Market shares in quantity in 2008 in number of boxes (source AFSSAPS)  </w:t>
        <w:br/>
        <w:t xml:space="preserve">2008 City City market share Hospital Hospital market share  </w:t>
        <w:br/>
        <w:t xml:space="preserve">Janssen-Cilag [1 to 2 million] [95%-100%] [300 to 400,000] [95%-100%]  </w:t>
        <w:br/>
        <w:t xml:space="preserve">Ratiopharm [5,000 to 10,000] [0%-5%] [10 to 1,000] [0%-5%]  </w:t>
        <w:br/>
        <w:t>Total [1 to 2 million] 100 % [300,000 to 400,000] 100 %</w:t>
      </w:r>
    </w:p>
    <w:p>
      <w:r>
        <w:t xml:space="preserve">Market shares in quantity in 2008 in number of patches (source AFSSAPS)  </w:t>
        <w:br/>
        <w:t xml:space="preserve">2008 City City market share Hospital Hospital market share  </w:t>
        <w:br/>
        <w:t xml:space="preserve">Janssen-Cilag [7 to 10 million] [95%-100%] [1.5 to 2 million] [95%-100%]  </w:t>
        <w:br/>
        <w:t xml:space="preserve">Ratiopharm [40,000 to 50,000] [0%-5%] [10 to 1,000] [0%-5%]  </w:t>
        <w:br/>
        <w:t>Total [7 to 10 million] 100 [1.5 to 2 million] 100</w:t>
      </w:r>
    </w:p>
    <w:p>
      <w:r>
        <w:t>97. Until December 10, 2008, Janssen-Cilag was the only market player and thus held 100% of both markets considered31. Given Janssen-Cilag's market shares and their evolution, it can be concluded, at this stage of the investigation, that Janssen-Cilag was, in 2008, likely in a dominant position in the French markets for the supply of transdermal fentanyl, both in the city and in hospitals.</w:t>
      </w:r>
    </w:p>
    <w:p>
      <w:r>
        <w:t xml:space="preserve">98. In 2009, Ratiopharm's market shares in value (cumulative from the beginning of the year until the end of May) were, in the two considered markets, as follows (source: GERS and Janssen-Cilag for the hospital).  </w:t>
        <w:br/>
        <w:t xml:space="preserve">Market shares in value (in euros)  </w:t>
        <w:br/>
        <w:t xml:space="preserve">City City market share Hospital Hospital market share  </w:t>
        <w:br/>
        <w:t xml:space="preserve">Janssen-Cilag [20 to 25 million €] [95 to 100 %] [2.5 to 3 million €] [95 to 100 %]  </w:t>
        <w:br/>
        <w:t xml:space="preserve">Ratiopharm [500 to 600,000 €] [0 to 5%] [350 to 400,000] [0 to 5%]  </w:t>
        <w:br/>
        <w:t xml:space="preserve">Nycomed [50 to 100,000 €] [0 to 5%] [25 to 30,000 €] [0 to 5%]  </w:t>
        <w:br/>
        <w:t xml:space="preserve">Winthrop [10 to 15,000 €] [0 to 5%] [100 to 200 €] [0 to 5%]  </w:t>
        <w:br/>
        <w:t>Total [20 to 25 million €] 100 % [2.5 to 3.5 million €] 100 %</w:t>
      </w:r>
    </w:p>
    <w:p>
      <w:r>
        <w:t xml:space="preserve">Market shares in quantity in 2009 (in patches)  </w:t>
        <w:br/>
        <w:t xml:space="preserve">City City market share Hospital Hospital market share  </w:t>
        <w:br/>
        <w:t xml:space="preserve">Janssen-Cilag [2.5 to 3 million] [95 to 100 %] [750 to 800,000] [95 to 100 %]  </w:t>
        <w:br/>
        <w:t xml:space="preserve">Ratiopharm [100 to 150,000] [0 to 5%] [70 to 75,000] [0 to 5%]  </w:t>
        <w:br/>
        <w:t xml:space="preserve">Nycomed [5,000 to 10,000] [0 to 5%] [4,000 to 5,000] [0 to 5%]  </w:t>
        <w:br/>
        <w:t xml:space="preserve">Winthrop [1,000 to 2,000] [0 to 5%] [0 to 100] [0 to 5%]  </w:t>
        <w:br/>
        <w:t>Total [2.5 to 3 million] 100 % [1.5 to 2 million] 100 %</w:t>
      </w:r>
    </w:p>
    <w:p>
      <w:r>
        <w:t>99. The figures presented in the tables above therefore allow us to consider, at this stage of the investigation, that Janssen-Cilag, given its market shares exceeding 95 %31, and the low dynamics of entry of generics, remains in a dominant position in the French markets for the supply of fentanyl, both in the city and in hospitals, markets on which the practices are denounced.</w:t>
      </w:r>
    </w:p>
    <w:p>
      <w:r>
        <w:t>100. In its observations, Janssen-Cilag contests the definition of the market limited to transdermal fentanyl. It suggests another, broader definition of the market, which would include all third-level opioid analgesics, on which it would not be in a dominant position. However, Janssen-Cilag does not provide complete statistics (notably missing revenue statistics) to support this claim. It merely indicates that in this market of third-level opioid analgesics, "until very recently, the leading product was Skénan, from BMS, the most widespread morphine in pain treatment, with Durogesic taking about ten years to capture more than 40 %." It also produces a graph showing that from mid-2007 Durogesic surpassed Skénan in market shares in volume.</w:t>
      </w:r>
    </w:p>
    <w:p>
      <w:r>
        <w:t xml:space="preserve">101. However, according to AFSSAPS (see table below), in the market for third-level opioid analgesics, the market shares of Durogesic from Janssen-Cilag, in value, are close to or exceed 70 %, both for the city [65 to 70 %] and for the hospital [85 to 90 %]. Its closest competitor, Skénan, reaches a market share of [20 to 25 %] in value in the city market and [0 to 5 %] in the hospital market. Furthermore, according to Janssen-Cilag itself, this competitor has been in a declining trend since mid-2007 to the benefit of Janssen-Cilag.  </w:t>
        <w:br/>
        <w:t xml:space="preserve">Market shares in value in 2008 (source AFSSAPS)  </w:t>
        <w:br/>
        <w:t xml:space="preserve">City City market share Hospital Hospital market share  </w:t>
        <w:br/>
        <w:t xml:space="preserve">Durogesic [70 to 75 million €] [65 to 70 %] [10 to 15 million €] [85 to 90 %]  </w:t>
        <w:br/>
        <w:t xml:space="preserve">Skénan [20 to 25 million €] [20 to 25 %] [600,000 to 650,000 €] [0 to 5 %]  </w:t>
        <w:br/>
        <w:t xml:space="preserve">Sophidone [2.5 to 3 million €] [0 to 5 %] [100,000 to 150,000 €] [0 to 5 %]  </w:t>
        <w:br/>
        <w:t xml:space="preserve">Oxycontin [9.5 to 10 million €] [5 to 10 %] [800,000 to 850,000 €] [5 to 10 %]  </w:t>
        <w:br/>
        <w:t xml:space="preserve">Kapanol [185 to 190,000 €] [0 to 5 %] [3,500 to 4,000 €] [0 to 5 %]  </w:t>
        <w:br/>
        <w:t>Total [100 to 105 million €] [100 %] [10 to 15 million €] [100 %]</w:t>
      </w:r>
    </w:p>
    <w:p>
      <w:r>
        <w:t>102. Additionally, even if one were to accept, as Janssen-Cilag argues, the substitutability of other third-level opioid analgesics (extended-release) with transdermal fentanyl32, the Janssen-Cilag laboratory would hold, according to AFSSAPS data, a dominant position with [65 to 70 %] market share in value for the city market and [80 to 85 %] for the hospital market, as indicated in the table above.</w:t>
      </w:r>
    </w:p>
    <w:p>
      <w:r>
        <w:t>103. Even if market share is only an indicator of a company's dominant position, it should be recalled that the Court of Justice of the European Communities has stated in the Hoffman-La Roche judgment that "extremely high market shares constitute, in themselves, and unless exceptional circumstances exist, proof of the existence of a dominant position." Similarly, the Court of Justice considered in the AKZO case that...</w:t>
      </w:r>
    </w:p>
    <w:p>
      <w:r>
        <w:rPr>
          <w:b/>
        </w:rPr>
        <w:t>[Pages 19–21]</w:t>
      </w:r>
    </w:p>
    <w:p>
      <w:r>
        <w:t>a market share of 50% for at least three years was a strong indication of the existence of a dominant position. Finally, the Competition Council considered that market share was an essential parameter in assessing dominance. Thus, it concluded in its decision No. 07-D-39 of November 23, 2007, regarding practices implemented in the rail transport sector for passengers on the Paris-London route, that Eurostar, which had a market share of [65 to 70%] on the Paris-London route, while its two main direct competitors were capped at [5 to 10%] market share each, held a dominant position in the market in question.</w:t>
      </w:r>
    </w:p>
    <w:p>
      <w:r>
        <w:t>104. Under these conditions, it can be considered, at this stage of the investigation, that Janssen-Cilag is likely to hold a dominant position in the French market for the supply of opioid analgesics of level III, as defined by Janssen-Cilag.</w:t>
      </w:r>
    </w:p>
    <w:p>
      <w:r>
        <w:t>3. ON PRACTICES LIKELY TO CONSTITUTE ABUSE</w:t>
      </w:r>
    </w:p>
    <w:p>
      <w:r>
        <w:t>105. The fact that a company in a dominant position, faced with the arrival or presence of competing products, develops commercial means to address this competition is not in itself constitutive of an abuse of that dominant position. It is indeed legitimate for a dominant company in its market to have the ability to face competition from other suppliers, as long as the means implemented remain those of competition on merits.</w:t>
      </w:r>
    </w:p>
    <w:p>
      <w:r>
        <w:t>106. Community and national case law indicates in this regard that, while it is not prohibited for an operator to develop its sales in a fair manner, an operator in a dominant position is subject to particular restrictions regarding the commercial means at its disposal to increase its sales. For example, in a judgment of October 7, 1999, Irish Sugar/Commission, the Court of First Instance of the European Communities stated (paragraphs 111-112): "It follows that Article 86 of the Treaty (now Article 82 EC) prohibits a dominant company from eliminating a competitor and thereby strengthening its position by using means other than those that fall within competition on merits."</w:t>
      </w:r>
    </w:p>
    <w:p>
      <w:r>
        <w:t>Regarding the characteristics of generic competition in retail pharmacy</w:t>
      </w:r>
    </w:p>
    <w:p>
      <w:r>
        <w:t>107. The substitution of branded medicines by their generics results primarily, if not exclusively, from a price advantage. Indeed, the analysis in terms of bioequivalence leads to the principle of total substitutability of the generic and the branded product from the perspective of the end user.</w:t>
      </w:r>
    </w:p>
    <w:p>
      <w:r>
        <w:t>108. Therefore, if we set aside any potential differences in terms of excipients or presentation, which could be presented as improvements compared to the advantage of prior art held by the branded product, the main argument of generic manufacturers to sell their products will be the lower price.</w:t>
      </w:r>
    </w:p>
    <w:p>
      <w:r>
        <w:t>109. This mechanism is particularly well verified in the hospital market where supplies are made through tenders for which the price level is decisive to win.</w:t>
      </w:r>
    </w:p>
    <w:p>
      <w:r>
        <w:t>110. In the retail market, the situation is different because the expression of demand follows a complex process involving three actors: the prescribing physician, the patient, the pharmacist, and, ultimately, a payer, the health insurance.</w:t>
      </w:r>
    </w:p>
    <w:p>
      <w:r>
        <w:t>111. The prescribing physician can designate a medication by its international nonproprietary name, which amounts to prescribing either the branded product or the generic. In France, this practice is very minor, even exceptional. Medicines are therefore most often prescribed under the commercial name of the branded product. The physician is therefore not sensitive to the price argument, which is the only one that allows the introduction of generics into the market. The patient is also not sensitive to this argument as they generally do not bear the cost of the medication, which is largely covered by health insurance.</w:t>
      </w:r>
    </w:p>
    <w:p>
      <w:r>
        <w:t>112. Thus, it is on the last actor, the pharmacist, that the effectiveness of the mechanism that responds to the final demand preference for the cheapest product relies. This is the meaning of the French regulatory framework. In order for health insurance to see the amount of reimbursements related to drug expenses decrease, public authorities encourage pharmacists to share with health insurance the preference for the cheapest medication by allowing them to obtain greater commercial advantages when selling a generic.</w:t>
      </w:r>
    </w:p>
    <w:p>
      <w:r>
        <w:t>113. In this context, all actions of a laboratory towards retail pharmacists to undermine this substitution mechanism of the branded product by generics are likely to be examined under competition law. Indeed, such actions cannot have the object or effect of favoring the prescription of the branded medication by physicians, nor of creating a preference among patients for the branded medication, but rather aim to hinder or prevent the arrival on the market of the cheaper product, which is desired by health insurance that represents the final demand in the sense given to it by economic theory when describing the functioning of a market. It is within this framework that it is necessary to examine, in the case at hand, considering the specific circumstances presented and the specific characteristics of the market in question, whether the behaviors adopted by Janssen-Cilag can be considered legitimate and falling within competition on merits or, on the contrary, whether they are likely to constitute abuses of its dominant position.</w:t>
      </w:r>
    </w:p>
    <w:p>
      <w:r>
        <w:t>Regarding actions taken with the AFSSAPS</w:t>
      </w:r>
    </w:p>
    <w:p>
      <w:r>
        <w:t>114. As described in paragraphs 22 to 25 and 35 and 36, the Janssen-Cilag laboratory undertook actions with the AFSSAPS to challenge the bio-equivalence of the generic product and express its concerns regarding the dangers of substituting the branded product with the generic, even though Ratiopharm had obtained a favorable community decision.</w:t>
      </w:r>
    </w:p>
    <w:p>
      <w:r>
        <w:t>115. It is undisputed that these interventions were made before the commercialization of the product, during the regulatory phase with the AFSSAPS, which is a public authority and has the necessary competence and expertise to assess the bio-equivalence of a generic and the risks that may arise from substituting the branded product with the generic. Therefore, the Competition Authority is not competent to assess the implementation by this health product safety authority of its public power prerogatives.</w:t>
      </w:r>
    </w:p>
    <w:p>
      <w:r>
        <w:t>116. Consequently, it does not seem, at this stage of the investigation, that the actions taken with the AFSSAPS can be considered as actions that could be qualified as abusive by an operator in a dominant position.</w:t>
      </w:r>
    </w:p>
    <w:p>
      <w:r>
        <w:t>Regarding practices towards healthcare professionals</w:t>
      </w:r>
    </w:p>
    <w:p>
      <w:r>
        <w:t>117. It appears from the facts presented in paragraphs 22 to 25 and then 37 to 56 that representatives and delegates of Janssen-Cilag have disseminated, through various means, information to prescribing physicians and pharmacists regarding the qualities of the generic marketed by Ratiopharm, particularly on a particularly sensitive aspect which is the bio-equivalence of the product, and the risks associated with substituting the branded product with the generic. The essence of this information leads to questioning the intrinsic qualities of the generic. Ratiopharm alleges that this approach by Janssen-Cilag constitutes a denigration of its generic.</w:t>
      </w:r>
    </w:p>
    <w:p>
      <w:r>
        <w:t>Reminder of decision-making practice and national case law regarding denigration constituting an abuse of dominant position</w:t>
      </w:r>
    </w:p>
    <w:p>
      <w:r>
        <w:t>118. Denigration actions by an operator in a dominant position can be qualified as abusive. They have been classified as such several times by the Competition Council, and twice in recent years.</w:t>
      </w:r>
    </w:p>
    <w:p>
      <w:r>
        <w:t>119. In its decision No. 07-D-33 of October 15, 2007, regarding practices implemented by France Télécom in the broadband Internet access sector, the Competition Council established that: "Competition implies a certain degree of rivalry and competition among market players. Nevertheless, this struggle for customer acquisition does not authorize all behaviors, especially from a company that, holding a dominant position in a market, incurs a particular responsibility. Among the acts that can be regarded as abusive, denigration occupies a major place. Denigration consists of publicly discrediting a person, product, or identified service; it differs from criticism in that it emanates from an economic actor seeking to gain a competitive advantage by discrediting its competitor or its competitor's products (...)." (Decision of the Competition Council No. 07-D-33 of October 15, 2007, regarding practices implemented by France Télécom in the broadband Internet access sector.)</w:t>
      </w:r>
    </w:p>
    <w:p>
      <w:r>
        <w:t>120. Thus, in this decision, the Competition Council, having found that France Télécom, a historical operator, held, given the recent development of competition in the market, a quite singular position, specified: "Consequently, the statements made by France Télécom were likely to have a strong impact on consumers' choices between one type of service or another or between one operator or another." However, in the statements, while some of the sales arguments of France Télécom's agents were objective and verifiable, others lacked any objectivity or nuance and were sometimes misleading. These arguments were all the more harmful as they primarily concerned the technical quality of the service, which is difficult to evaluate a priori. Under these conditions, "the very negative opinion of France Télécom, a historical and public reference in telecommunications, was therefore particularly discouraging for the lay prospect." France Télécom's practices were thus qualified as abusive.</w:t>
      </w:r>
    </w:p>
    <w:p>
      <w:r>
        <w:t>121. In decision No. 07-MC-06 of December 11, 2007, regarding a request for interim measures presented by Arrow Génériques, the Competition Council considered that the denigration practice of Schering-Plough against a product of Arrow Génériques could be subject to an injunction to mitigate the risk associated with the degradation of the image of the generic drug. This decision was confirmed by the Paris Court of Appeal on February 5, 2008, whose ruling was subject to an appeal rejected by the Court of Cassation on January 13, 2009.</w:t>
      </w:r>
    </w:p>
    <w:p>
      <w:r>
        <w:rPr>
          <w:b/>
        </w:rPr>
        <w:t>[Pages 22–24]</w:t>
      </w:r>
    </w:p>
    <w:p>
      <w:r>
        <w:t>la spécialité de référence est inscrite au répertoire des génériques, mais à rappeler aux professionnels de santé l’importance d’un suivi médical lors de toute substitution.</w:t>
      </w:r>
    </w:p>
    <w:p>
      <w:r>
        <w:t>137. En conséquence, l’AFSSAPS a demandé à Janssen-Cilag de cesser immédiatement toute communication qui pourrait induire en erreur les professionnels de santé concernant la substitution des dispositifs transdermiques de fentanyl.</w:t>
      </w:r>
    </w:p>
    <w:p>
      <w:r>
        <w:t>138. Le Conseil de la concurrence a donc considéré que les pratiques de Janssen-Cilag, en diffusant des informations trompeuses sur les risques de substitution, constituaient un comportement dénigrant à l'égard du générique de Ratiopharm, susceptible de constituer un abus de position dominante sur le marché.</w:t>
      </w:r>
    </w:p>
    <w:p>
      <w:r>
        <w:t>139. En conclusion, le Conseil a estimé que Janssen-Cilag avait agi de manière à entraver l'entrée sur le marché du générique de Ratiopharm, en créant un climat de méfiance parmi les professionnels de santé, ce qui pourrait avoir des conséquences néfastes sur la concurrence et sur l'accès des patients à des traitements efficaces.</w:t>
      </w:r>
    </w:p>
    <w:p>
      <w:r>
        <w:rPr>
          <w:b/>
        </w:rPr>
        <w:t>[Pages 25–27]</w:t>
      </w:r>
    </w:p>
    <w:p>
      <w:r>
        <w:t>registration in the directory was pronounced but to draw the attention of healthcare professionals to the necessary precautions in case of a change of specialty for this medication" [emphasis added]. This clarification addressed specifically to Janssen-Cilag "regarding the scope of the Agency's decision" and the reference to "any ambiguity" about the content of the warning seems to directly target Janssen-Cilag's information campaign and confirm its inaccuracy or even its disparaging nature.</w:t>
      </w:r>
    </w:p>
    <w:p>
      <w:r>
        <w:t>137. Regarding the use of the term "notably," Janssen-Cilag indicates that "it was perfectly normal for the responsible pharmacist of Janssen-Cilag in charge of monitoring pharmacovigilance cases concerning Durogesic to show that his concern was particularly about the substitution of the products for which he was responsible, namely the one whose name appears on the prescription, especially since at the time of the facts (November) the initiation would take place in all cases under Durogesic, the substitution could only hypothetically occur from the reference product to the generics."</w:t>
      </w:r>
    </w:p>
    <w:p>
      <w:r>
        <w:t>138. Given the market situation (monopolistic position of the reference product) at the time Ratiopharm appeared, any mention of the risk of substitution between specialties could only target the generic. Consequently, any information campaign on this theme could only affect Ratiopharm's transdermal fentanyl or another generic. Janssen-Cilag reinforced the effectiveness of its campaign by quoting the AFSSAPS warning in a truncated and ambiguous manner to support its argument.</w:t>
      </w:r>
    </w:p>
    <w:p>
      <w:r>
        <w:t>139. The fact that Janssen-Cilag modified the content of its first letter (by removing the term "notably") demonstrates that it did not accurately reflect the position of AFSSAPS but rather deviated from it and could thus have fueled a disparagement campaign.</w:t>
      </w:r>
    </w:p>
    <w:p>
      <w:r>
        <w:t>140. Finally, Janssen-Cilag argues that these two letters from the responsible pharmacist of Janssen-Cilag were necessary to inform doctors and pharmacists of this warning, since no one consults the directory of generic groups, where this warning was published.</w:t>
      </w:r>
    </w:p>
    <w:p>
      <w:r>
        <w:t>141. This overlooks the communication that AFSSAPS itself made regarding this warning, on the one hand, by publishing a letter on December 10, 2008, addressed to all healthcare professionals and, on the other hand, by publishing a "press release" on the same date informing them exactly of the content of the warning and indicating that it had only been adopted so that "the substitution takes place under good conditions."</w:t>
      </w:r>
    </w:p>
    <w:p>
      <w:r>
        <w:t>142. Janssen-Cilag also highlights the statements of the deputy director general of AFSSAPS collected in an APM international dispatch dated November 20, 2008, which reportedly indicated: "it is advisable not to switch from one to the other, to start with the range of the reference specialty or that of the generic but to stick to it for the rest of the treatment" to support that these remarks reinforce the need to inform about the existence of a risk induced by substitution, which the successive letters from the responsible pharmacist of Janssen-Cilag would have merely reformulated.</w:t>
      </w:r>
    </w:p>
    <w:p>
      <w:r>
        <w:t>143. It should first be noted that this position is not the one ultimately taken by the director general of AFSSAPS since it was not included in the AFSSAPS warning, which only mentioned the necessity of carrying out the substitution under medical supervision.</w:t>
      </w:r>
    </w:p>
    <w:p>
      <w:r>
        <w:t>144. It can also be noted that this statement is produced in a press dispatch, which may have either taken it out of context or distorted it.</w:t>
      </w:r>
    </w:p>
    <w:p>
      <w:r>
        <w:t>145. In any case, it is not for a company in a dominant position to substitute itself for a health authority. The European Commission emphasized in its communication on the application of Article 82 of the EC Treaty that "it is not the responsibility of the dominant company to take initiatives to eliminate products that it considers, rightly or wrongly, to be dangerous or inferior to its own product." To this end, the AFSSAPS warning, disseminated by mail to healthcare professionals on December 10, 2008, was more than sufficient in itself.</w:t>
      </w:r>
    </w:p>
    <w:p>
      <w:r>
        <w:t>146. Furthermore, Janssen-Cilag did not limit itself to simply providing information to healthcare professionals. It implemented a communication strategy with pharmacists, notably by multiplying the means of action: press releases in professional media, multiple mailings to retail pharmacists, use of the wholesalers' distribution network, repeated phone calls, organization of seminars.</w:t>
      </w:r>
    </w:p>
    <w:p>
      <w:r>
        <w:t>147. Under these conditions, Janssen-Cilag's behavior does not appear, at this stage of the investigation, to fall within legitimate commercial behavior to defend its commercial interests against the arrival of the generic, a competitor of its reference product, especially since it was, as in the Schering-Plough case, implemented prior to the commercialization of the generic in December 2008. Janssen-Cilag itself acknowledges in its statements that the first facts occurred "in November," the first letter published in the Quotidien du médecin being dated November 27, 2008.</w:t>
      </w:r>
    </w:p>
    <w:p>
      <w:r>
        <w:t>148. Consequently, the practices of Janssen-Cilag, as described above, subject to the substantive investigation, could be liable to be qualified as disparagement of Ratiopharm's generic, aimed at eliminating a competing product from the market. Since they originate from a company in a dominant position, they are likely to be considered abusive.</w:t>
      </w:r>
    </w:p>
    <w:p>
      <w:r>
        <w:t>Regarding the allegation of predatory pricing</w:t>
      </w:r>
    </w:p>
    <w:p>
      <w:r>
        <w:t>149. It follows from paragraphs 32 to 34 and then 57 to 59 that Janssen-Cilag proposed low or very low prices, even near-free pricing for several hospital markets as well as for the referencing centers of private clinics.</w:t>
      </w:r>
    </w:p>
    <w:p>
      <w:r>
        <w:t>150. During the investigation, Janssen-Cilag communicated its unit production costs and its transfer prices per patch.</w:t>
      </w:r>
    </w:p>
    <w:p>
      <w:r>
        <w:t>151. While these elements allow for a prima facie observation that certain offers were made below the unit production cost communicated by Janssen-Cilag or below the transfer price of Durogesic, they are not sufficient to establish, at this stage of the investigation, that these price offers have a "predatory" character.</w:t>
      </w:r>
    </w:p>
    <w:p>
      <w:r>
        <w:t>152. The investigation must continue to assess the conditions under which these offers to hospitals and clinics could be qualified as abusive, from an operator in a dominant position.</w:t>
      </w:r>
    </w:p>
    <w:p>
      <w:r>
        <w:t>4. REQUEST FOR CONSERVATORY MEASURES</w:t>
      </w:r>
    </w:p>
    <w:p>
      <w:r>
        <w:t>153. Ratiopharm requests, as a conservatory measure, that a series of measures be ordered against Janssen-Cilag that it believes are necessary to put an end to the serious and immediate harm it denounces. These measures have been outlined in paragraph 2 of this decision.</w:t>
      </w:r>
    </w:p>
    <w:p>
      <w:r>
        <w:t>154. According to Article L. 464-1 of the Commercial Code, "the Competition Authority may (...) take the conservatory measures requested or those that appear necessary to it. These measures can only intervene if the practice denounced causes serious and immediate harm to the general economy, to that of the sector concerned, to the interest of the consumer, or to the complaining company (...). They must remain strictly limited to what is necessary to address the urgency."</w:t>
      </w:r>
    </w:p>
    <w:p>
      <w:r>
        <w:t>155. Furthermore, in a ruling dated November 8, 2005, the Court of Cassation recalled that "conservatory measures may be decided (...) within the limits of what is justified by urgency, in case of serious and immediate harm to the general economy, to that of the sector concerned, to the interest of consumers, or to the complaining company, provided that the facts denounced, and targeted by the investigation, in the substantive procedure, appear likely, given the elements produced in the debates, to constitute a practice contrary to Articles L. 420-1 or L. 420-2 of the Commercial Code, a practice that is the direct and certain origin of the harm noted."</w:t>
      </w:r>
    </w:p>
    <w:p>
      <w:r>
        <w:t>Absence of serious and immediate harm to the general economy, to the sector concerned, or to the interest of consumers</w:t>
      </w:r>
    </w:p>
    <w:p>
      <w:r>
        <w:t>156. In 2008, health insurance expenditures for medications dispensed in the community amounted to 17.7 billion euros. In 2008, the growth of expenditures stabilized (-0.6% compared to +4.5% in 2007) notably due to the development of generics (905 million euros saved in 2008 - compared to 734 million in 2007) - to which should be added 53 million in savings related to the price reductions of reference products upon patent expiration, to the delisting of products with insufficient medical service rendered, and to various actions taken (for example, to curb antibiotic prescriptions). Generics thus play a fundamental role in moderating expenditures.</w:t>
      </w:r>
    </w:p>
    <w:p>
      <w:r>
        <w:t>157. Janssen-Cilag believes that the deficit of health insurance does not concern the Competition Authority, and that it does not have to defend health insurance which "is perfectly capable of safeguarding its interests alone."</w:t>
      </w:r>
    </w:p>
    <w:p>
      <w:r>
        <w:t>158. However, the Competition Authority guarantees the proper functioning of the market, even regulated, for the benefit of the consumer. Now, the consumer contributes to health insurance which covers most of the cost of healthcare expenditures. Therefore, any savings made by health insurance through the purchase of less expensive medications is directly favorable to it. Conversely, any hindrance to the development of generics, which are cheaper than reference products, directly harms it.</w:t>
      </w:r>
    </w:p>
    <w:p>
      <w:r>
        <w:t>159. In the community, the market for transdermal fentanyl represented [65 to 70] million euros and [10 to 15] million in hospitals in 2008. According to the data provided by the complainant, a "sensitive" generic has between 6% and 30% market share in the first year. In this case, the generic was 25% cheaper and Durogesic was reimbursed at 65%.</w:t>
      </w:r>
    </w:p>
    <w:p>
      <w:r>
        <w:rPr>
          <w:b/>
        </w:rPr>
        <w:t>[Pages 28–29]</w:t>
      </w:r>
    </w:p>
    <w:p>
      <w:r>
        <w:t>practices of Janssen-Cilag, assessed over only three months, to counter the development of the generic, cost the Social Security between €200,000 and €2.55 million, which represents the difference between what health insurance reimbursed and what it would have reimbursed if the generic (25%) cheaper had obtained 6% to 30% market share according to the following calculation formula: [(X33 x 6534/435 = Z) – (Z x 94[1] = 0.70) + (Z - Z x 2536 x 6[2] = 11.21)] which gives €0.17 million or [Z - (Z x X [1] = 7.97) + (Z - Z x 25 x 30[2] = 2.56) = 10.53] which gives €0.85 million, resulting in an outcome between €170,000 [low hypothesis with 6% market share for the generic] and €855,000 [high hypothesis with 30% market share for the generic].</w:t>
      </w:r>
    </w:p>
    <w:p>
      <w:r>
        <w:t>160. Therefore, even if the practices of Janssen-Cilag could constitute abuses of its dominant position, they are not, in light of the findings gathered in the file, of a nature to create a serious and immediate harm to the health economy and in particular to the accounts of health insurance.</w:t>
      </w:r>
    </w:p>
    <w:p>
      <w:r>
        <w:t>Absence of serious and immediate harm to the complaining company</w:t>
      </w:r>
    </w:p>
    <w:p>
      <w:r>
        <w:t>161. The company Ratiopharm is a globally sized group whose turnover reached €1.9 billion in 2008, an increase of 5% compared to the previous year. Regarding its French subsidiary, Ratiopharm France, its turnover reached €139.3 million in 2008, an increase of 25% compared to the previous year (+9% excluding the hospital market). Even though the entry difficulties into the French market faced by Ratiopharm's generic fentanyl are real, they are also not of a nature to cause serious and immediate harm to the complaining company.</w:t>
      </w:r>
    </w:p>
    <w:p>
      <w:r>
        <w:t>Conclusion</w:t>
      </w:r>
    </w:p>
    <w:p>
      <w:r>
        <w:t>162. In the absence of serious and immediate harm to one of the interests protected by Article L. 464-1 of the Commercial Code, there is no need to order, in any case, the emergency measures requested by the applicant company. It is, however, appropriate to continue the investigation into the various practices attributed to the company Janssen-Cilag France.</w:t>
      </w:r>
    </w:p>
    <w:p>
      <w:r>
        <w:t>DECISION</w:t>
      </w:r>
    </w:p>
    <w:p>
      <w:r>
        <w:t>Article 1: The request for conservatory measures registered under number 09/00026 M is rejected.</w:t>
      </w:r>
    </w:p>
    <w:p>
      <w:r>
        <w:t>Article 2: It is appropriate to continue the substantive investigation of the case registered under number 09/0025 F.</w:t>
      </w:r>
    </w:p>
    <w:p>
      <w:r>
        <w:t xml:space="preserve">33 This refers to the turnover achieved in the city.  </w:t>
        <w:br/>
        <w:t xml:space="preserve">34 This refers to the percentage of reimbursement by health insurance.  </w:t>
        <w:br/>
        <w:t xml:space="preserve">35 The turnover is divided by four since only three months are taken into account to calculate the duration of the practice.  </w:t>
        <w:br/>
        <w:t xml:space="preserve">[1] This refers to the market share of the originator product.  </w:t>
        <w:br/>
        <w:t xml:space="preserve">36 This refers to the price difference of the generic.  </w:t>
        <w:br/>
        <w:t xml:space="preserve">[2] This refers to the market share of the generic.  </w:t>
        <w:br/>
        <w:t xml:space="preserve">[1] This refers to the market share of the originator product.  </w:t>
        <w:br/>
        <w:t>[2] This refers to the market share of the generic.</w:t>
      </w:r>
    </w:p>
    <w:p>
      <w:r>
        <w:t xml:space="preserve">Deliberated on the oral report of Ms. Geneviève Wibaux and the intervention of Mr. Eric Cuziat, deputy general rapporteur, by Mr. Patrick Spilliaert, vice-president, president of the session, Ms. Reine-Claude Mader-Saussaye, Ms. Pierrette Pinot, and Mr. Emmanuel Combe, members.  </w:t>
        <w:br/>
        <w:t xml:space="preserve">The session secretary, The vice-president,  </w:t>
        <w:br/>
        <w:t xml:space="preserve">Marie-Anselme Lienafa Patrick Spilliaert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