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https://www.autoritedelaconcurrence.fr/fr/decision/relative-des-pratiques-de-la-maison-de-justice-et-du-droit-du-quartier-saint-christophe</w:t>
      </w:r>
    </w:p>
    <w:p>
      <w:r>
        <w:t>Pages translated : 2</w:t>
      </w:r>
    </w:p>
    <w:p/>
    <w:p>
      <w:r>
        <w:rPr>
          <w:b/>
        </w:rPr>
        <w:t>[Pages 1–2]</w:t>
      </w:r>
    </w:p>
    <w:p>
      <w:r>
        <w:t xml:space="preserve">COUNCIL OF COMPETITION  </w:t>
        <w:br/>
        <w:t xml:space="preserve">Decision No. 01-D-73 of November 6, 2001  </w:t>
        <w:br/>
        <w:t xml:space="preserve">regarding practices of the house of justice and law  </w:t>
        <w:br/>
        <w:t xml:space="preserve">of the Saint Christophe district in Val d’Oise  </w:t>
        <w:br/>
        <w:t xml:space="preserve">The Competition Council (standing committee),  </w:t>
        <w:br/>
        <w:t xml:space="preserve">Having regard to the letter registered on October 5, 2000, under number F 1267, by which Mr. Patrick Desoeuvre, lawyer at the Val d’Oise bar, referred to the Competition Council practices implemented by the bar association of this bar;  </w:t>
        <w:br/>
        <w:t xml:space="preserve">Having regard to Book IV of the Commercial Code relating to the freedom of prices and competition and Decree No. 86-1309 of December 29, 1986, as amended, adopted for the application of Ordinance No. 86-1243 of December 1, 1986;  </w:t>
        <w:br/>
        <w:t xml:space="preserve">Having regard to the observations presented by the referring party and the Government Commissioner;  </w:t>
        <w:br/>
        <w:t xml:space="preserve">Having regard to the other documents in the file;  </w:t>
        <w:br/>
        <w:t xml:space="preserve">The rapporteur, the general rapporteur, the Government Commissioner, and Mr. Patrick Desoeuvre, heard during the session of September 11, 2001;  </w:t>
        <w:br/>
        <w:t xml:space="preserve">After deliberation;  </w:t>
        <w:br/>
        <w:t xml:space="preserve">Mr. Patrick Desoeuvre, registered at the Val d’Oise bar for about twenty years, complains about the establishment of a house of justice opposite his office; this house organizes free legal consultations which are advertised in a local gazette and are provided by members of the bar; these services would, according to the referring party, be contrary to Article L. 420-1 of the Commercial Code as they tend to limit the free exercise of competition and obstruct the setting of prices by the free play of the market.  </w:t>
        <w:br/>
        <w:t xml:space="preserve">The referring party considers that these practices are likely to give rise to the application of Article L. 420-3 of the Commercial Code which states that any agreement relating to a practice prohibited by Articles L. 420-1 and L. 420-2 is null; he also invokes the first paragraph of Article L. 442-8 of the Commercial Code which prohibits offering for sale products or proposing services using, under irregular conditions, the public domain of the State, local authorities, and their establishments.  </w:t>
        <w:br/>
        <w:t>Mr. Desoeuvre considers, in his referral, the practices he denounces as unfair and consequently requests the granting of damages. However, this request was abandoned during the session. Nevertheless, the applicant requested the Council to state that the practices of free services are contrary to Article L. 420-5 of the Commercial Code.</w:t>
      </w:r>
    </w:p>
    <w:p>
      <w:r>
        <w:t xml:space="preserve">Considering that the practices of unfair competition alleged by Mr. Patrick Desoeuvre against the Val d’Oise bar do not fall within the jurisdiction of the Council; that, likewise, it does not belong to the Council to declare the nullity of commitments, agreements, or contractual clauses, on the basis of Articles L. 420-3 or L. 442-8 of the Commercial Code;  </w:t>
        <w:br/>
        <w:t xml:space="preserve">Considering that it is appropriate, on the other hand, to investigate whether some of the practices denounced by the referring party are likely to fall within the scope of Articles L. 420-1 and L. 420-5 of the Commercial Code; that it is therefore necessary, before ruling on the merits, to refer the case for investigation by the rapporteur;  </w:t>
        <w:br/>
        <w:t xml:space="preserve">Decides  </w:t>
        <w:br/>
        <w:t xml:space="preserve">Sole Article - The case is referred for investigation.  </w:t>
        <w:br/>
        <w:t xml:space="preserve">Deliberated, on the oral report of Ms. Servella-Huertas, by Ms. Hagelsteen, president, Mr. Jenny and Ms. Pasturel, vice-presidents.  </w:t>
        <w:br/>
        <w:t xml:space="preserve">The session secretary, The president,  </w:t>
        <w:br/>
        <w:t xml:space="preserve">Thierry Poncelet Marie-Dominique Hagelsteen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