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https://www.autoritedelaconcurrence.fr/fr/decision/relative-des-pratiques-de-la-societe-electrolux-motoculture-sur-le-marche-de-la</w:t>
      </w:r>
    </w:p>
    <w:p>
      <w:r>
        <w:t>Pages translated : 5</w:t>
      </w:r>
    </w:p>
    <w:p/>
    <w:p>
      <w:r>
        <w:rPr>
          <w:b/>
        </w:rPr>
        <w:t>[Pages 1–3]</w:t>
      </w:r>
    </w:p>
    <w:p>
      <w:r>
        <w:t xml:space="preserve">FRENCH REPUBLIC  </w:t>
        <w:br/>
        <w:t xml:space="preserve">Decision No. 94-D-27 of April 26, 1994  </w:t>
        <w:br/>
        <w:t xml:space="preserve">regarding practices of the company Electrolux Motoculture  </w:t>
        <w:br/>
        <w:t xml:space="preserve">in the market for the distribution of gardening and agricultural equipment  </w:t>
        <w:br/>
        <w:t xml:space="preserve">The Competition Council (section I),  </w:t>
        <w:br/>
        <w:t xml:space="preserve">Having regard to the letter registered on August 31, 1990, under number F 339, by which the Minister of State, Minister of Economy, Finance and Budget, referred to the Competition Council the practices implemented by the partnership company Electrolux Motoculture in the market for the distribution of gardening and agricultural equipment;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Electrolux Motoculture and the Government Commissioner;  </w:t>
        <w:br/>
        <w:t xml:space="preserve">Having regard to the other documents in the file;  </w:t>
        <w:br/>
        <w:t xml:space="preserve">The rapporteur, the general rapporteur, the Government Commissioner, and the representative of the company Electrolux Motoculture heard;  </w:t>
        <w:br/>
        <w:t xml:space="preserve">Adopts the decision based on the findings (I) and the reasons (II) set out below:  </w:t>
        <w:br/>
        <w:t xml:space="preserve">I. - FINDINGS  </w:t>
        <w:br/>
        <w:t xml:space="preserve">The company Electrolux Motoculture markets gardening equipment under the Husqvarna brand and tillers under the Staub brand, through authorized dealers with whom it has entered into distribution contracts.  </w:t>
        <w:br/>
        <w:t>1. a) The distribution contract applicable for the 1987-1988 season, which defines the commercial relations between the company Electrolux Motoculture and the dealers of Husqvarna equipment, is titled 'Husqvarna Partnership Contract 1987-1988'. It includes in its Articles 1 and 2 a clause of territorial and customer exclusivity worded as follows:</w:t>
      </w:r>
    </w:p>
    <w:p>
      <w:r>
        <w:t xml:space="preserve">'Article 1  </w:t>
        <w:br/>
        <w:t xml:space="preserve">'Partnership  </w:t>
        <w:br/>
        <w:t xml:space="preserve">'... the designated Husqvarna dealer... must agree to represent 'Husqvarna' in the field of Forest and Garden products... without any exception and in volumes consistent with the assigned sales sector.  </w:t>
        <w:br/>
        <w:t xml:space="preserve">'Husqvarna commits not to enter into other contracts within the area of influence covered by the current contract during its validity period...  </w:t>
        <w:br/>
        <w:t xml:space="preserve">'Article 2  </w:t>
        <w:br/>
        <w:t xml:space="preserve">'Area of Influence  </w:t>
        <w:br/>
        <w:t xml:space="preserve">'Assigned to..., non-exclusive Husqvarna dealer, and determined in the annex.  </w:t>
        <w:br/>
        <w:t xml:space="preserve">'The dealer agrees to strictly adhere to the boundaries of this territory, both in commercial and advertising prospecting and in sales to customers. If this is not the case, this area of influence may be reconsidered without delay by Husqvarna.'  </w:t>
        <w:br/>
        <w:t xml:space="preserve">The annex mentioned in the first paragraph of the aforementioned Article 2 is attached to the contract and sets the 'area of influence' of the dealer. According to the statements of Mr. Staub, director of the Staub-Husqvarna division of Electrolux Motoculture, the assigned areas extend within a radius of 25 kilometers around the point of sale.  </w:t>
        <w:br/>
        <w:t xml:space="preserve">Under the terms of Article 14 of the contract, dealers agree to respect the area of influence under penalty of termination of the contract for serious misconduct.  </w:t>
        <w:br/>
        <w:t xml:space="preserve">This contract was signed by approximately 10% of the dealers constituting the distribution network of the company and has not been renewed since 1988.  </w:t>
        <w:br/>
        <w:t xml:space="preserve">1. b) The distribution contract that defines the commercial relations between Electrolux Motoculture and the dealers of Staub brand tillers, titled 'Staub Cooperation Agreement' and dating from 1981, was still in effect at the time of the referral to the Competition Council. Under the terms of Annex IV of the contract, an 'area of influence' is assigned to the dealer who 'agrees to strictly adhere to the boundaries of this territory, both in commercial and advertising prospecting and in sales to customers'. The 'Staub Cooperation Agreement' does not contain a clause of territorial and customer exclusivity.  </w:t>
        <w:br/>
        <w:t xml:space="preserve">2. In November 1987, Electrolux Motoculture sent an identical letter to two dealers, the company Roques et Lecoeur and the company Bernard, in which it requested them to raise their resale prices and to practice the prices recommended by the supplier, threatening them, should they not comply with this request, to withdraw its financial and advertising support. This letter is worded as follows:  </w:t>
        <w:br/>
        <w:t>'Our sales inspector... has communicated to us the prices you are practicing on our Husqvarna chainsaws...</w:t>
      </w:r>
    </w:p>
    <w:p>
      <w:r>
        <w:t xml:space="preserve">'These prices are too far from those we recommend you practice to achieve sufficient profitability at your company's level.  </w:t>
        <w:br/>
        <w:t xml:space="preserve">'We draw your attention to the necessity of adhering to our recommendations in this matter.  </w:t>
        <w:br/>
        <w:t xml:space="preserve">'If this were not the case, we would indeed be led to reconsider the validity of our financial participation in your Husqvarna advertising investments, as well as your potential Husqvarna Forest 1987 year-end bonus (B.F.A.).'  </w:t>
        <w:br/>
        <w:t xml:space="preserve">The letter addressed to the company Roques et Lecoeur was drafted following an intervention by a dealer, the Sourdon establishments, who complained about the excessively low prices practiced by its competitor, as evidenced by the statements of Mr. Staub and the note at the top of this letter indicating that a copy was sent to the Sourdon establishments.  </w:t>
        <w:br/>
        <w:t xml:space="preserve">II. - BASED ON THE ABOVE FINDINGS, THE COUNCIL  </w:t>
        <w:br/>
        <w:t xml:space="preserve">On the distribution contracts of the company Electrolux Motoculture  </w:t>
        <w:br/>
        <w:t xml:space="preserve">Considering that the clauses contained in the distribution contracts concluded between Electrolux Motoculture and its dealers for the Husqvarna and Staub products, by which these dealers agree to respect the territory granted to them both in commercial and advertising prospecting and for sales to customers, as far as they prohibit them from selling these products outside the area of influence assigned to them, constitute an impediment to their commercial freedom and are likely to lead to an artificial division of the market; that such clauses have the object and may have the effect of restricting competition among dealers in the market concerned;  </w:t>
        <w:br/>
        <w:t xml:space="preserve">Considering that Electrolux Motoculture, while acknowledging that these clauses 'could have had the effect of limiting the commercial freedom of the dealers and restricting the competition among them', argues, however, that these clauses had no effect on the market, since these contracts were 'hardly signed by about forty dealers out of the 200 concerned..., that the said clauses, even when signed, were not applied in practice, and that no consequences were suffered by the dealers who had not signed the said contracts,... that from the 1988-1989 season, these contracts were replaced by other contracts in which these restrictive clauses no longer existed';  </w:t>
        <w:br/>
        <w:t xml:space="preserve">But, considering that Article 7 of the ordinance of December 1, 1986 prohibits agreements that have as their object or may have the effect of restricting competition in a market; therefore, Electrolux Motoculture cannot effectively argue, to contest the qualification of the practices noted, that these practices would not have had an anti-competitive effect;  </w:t>
        <w:br/>
        <w:t>Considering that it follows from the above that the aforementioned clauses are prohibited by Article 7 of the ordinance of December 1, 1986;</w:t>
      </w:r>
    </w:p>
    <w:p>
      <w:r>
        <w:rPr>
          <w:b/>
        </w:rPr>
        <w:t>[Pages 4–5]</w:t>
      </w:r>
    </w:p>
    <w:p>
      <w:r>
        <w:t xml:space="preserve">On the imposition of minimum prices:  </w:t>
        <w:br/>
        <w:t xml:space="preserve">Considering that it follows from the findings set out in I.2 of this decision that the letter dated November 23, 1987, sent by Electrolux Motoculture to Roques and Lecoeur establishments, was drafted at the initiative of Sourdon establishments and in agreement with them; that it is thus the manifestation of a concerted action within the meaning of Article 7 of the ordinance of December 1, 1986;  </w:t>
        <w:br/>
        <w:t xml:space="preserve">Considering that this letter aimed to and could have the effect of restricting the free setting of its sales prices by Roques and Lecoeur;  </w:t>
        <w:br/>
        <w:t xml:space="preserve">Considering that Electrolux Motoculture argues that, through the aforementioned letter, it 'does not seek to impose prices on Roques and Lecoeur...' and 'in fact draws the attention of this reseller to the necessity of preserving margins compatible with its profitability'; that this letter would also be justified by the fact that it concerns a new customer who, moreover, experienced 'a payment difficulty that occurred the previous month';  </w:t>
        <w:br/>
        <w:t xml:space="preserve">But, considering that this letter expressly aimed at the 'compliance with the recommended Husqvarna prices' and that by writing: 'We draw your attention to the necessity of adhering to our recommendations in this matter' (that is to say, in terms of resale prices), Electrolux Motoculture clearly expressed its intention to impose on its reseller the prices it recommends;  </w:t>
        <w:br/>
        <w:t xml:space="preserve">Considering that the fact that Roques and Lecoeur establishments delayed the payment to Electrolux Motoculture of a debt of 4,844 F, even if established, has no impact on the qualification of the practice considered in light of Article 7 of the ordinance of December 1, 1986;  </w:t>
        <w:br/>
        <w:t xml:space="preserve">Considering that it follows from the above that the aforementioned practice is prohibited by Article 7 of the aforementioned ordinance;  </w:t>
        <w:br/>
        <w:t xml:space="preserve">On the sanction:  </w:t>
        <w:br/>
        <w:t xml:space="preserve">Considering that under Article 13 of the 1986 ordinance: 'The Competition Council may impose a financial penalty applicable either immediately or in case of non-compliance with injunctions. Financial penalties are proportionate to the severity of the facts alleged, the importance of the damage caused to the economy, and the situation of the sanctioned company or organization, and are justified for each sanction. The maximum amount of the penalty is, for a company, 5% of the amount of the turnover excluding taxes achieved in France during the last closed financial year...';  </w:t>
        <w:br/>
        <w:t xml:space="preserve">Considering that while the distribution contracts examined by the council may have affected the functioning of the entire distribution network of Electrolux Motoculture, whose brand reputation is significant, and while, moreover, the practice of imposed minimum prices attributable to this company undermines the freedom of resellers in setting their sales prices, without which competition cannot operate among them, it is necessary to take into account the limited damage caused to the economy, due to the brevity of the period during which the clause in the distribution contract for Husqvarna products was applied, having been removed as of the 1988-1989 season and the fact that the practice of imposed minimum prices only concerned a single reseller and could only have a minimal impact on the market;  </w:t>
        <w:br/>
        <w:t xml:space="preserve">Considering that S.N.C. Electrolux Motoculture became S.N.C. Husqvarna France on January 1, 1991, and then resumed its name in January 1993; that the turnover to be considered for determining the amount of the sanction is that of the 1992 financial year, the last known financial year, amounting to 198,579,456 F;  </w:t>
        <w:br/>
        <w:t xml:space="preserve">Considering that it is appropriate, based on all the elements mentioned above, to impose on this company a financial penalty of 100,000 F,  </w:t>
        <w:br/>
        <w:t xml:space="preserve">Decides:  </w:t>
        <w:br/>
        <w:t xml:space="preserve">Single Article. - A financial penalty of 100,000 F is imposed on Electrolux Motoculture.  </w:t>
        <w:br/>
        <w:t xml:space="preserve">Deliberated, on the report of Ms. Simone de Mallmann, designated to substitute for Ms. Galène, the prevented reporter, by Mr. Cortesse, vice-president, presiding, Mr. Bon, Mr. Marleix, Mr. Rocca, Mr. Sloan, and Mr. Thiolon, members.  </w:t>
        <w:br/>
        <w:t xml:space="preserve">The general reporter The vice-president, presiding the session  </w:t>
        <w:br/>
        <w:t xml:space="preserve">Mr. Sadaoui P.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