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https://www.autoritedelaconcurrence.fr/fr/decision/relative-des-pratiques-de-la-societe-rega-dans-le-secteur-de-la-distribution-de-bieres</w:t>
      </w:r>
    </w:p>
    <w:p>
      <w:r>
        <w:t>Pages translated : 2</w:t>
      </w:r>
    </w:p>
    <w:p/>
    <w:p>
      <w:r>
        <w:rPr>
          <w:b/>
        </w:rPr>
        <w:t>[Pages 1–2]</w:t>
      </w:r>
    </w:p>
    <w:p>
      <w:r>
        <w:t xml:space="preserve">COMPETITION COUNCIL  </w:t>
        <w:br/>
        <w:t xml:space="preserve">Decision No. 00-D-92 of February 23, 2001  </w:t>
        <w:br/>
        <w:t xml:space="preserve">concerning practices by the company Réga  </w:t>
        <w:br/>
        <w:t xml:space="preserve">in the beer distribution sector  </w:t>
        <w:br/>
        <w:t xml:space="preserve">The Competition Council (standing committee),  </w:t>
        <w:br/>
        <w:t xml:space="preserve">Having regard to the letter registered on November 20, 1997, under number F 989, by which Mrs. Ziliotto referred to the Competition Council practices implemented by Mr. Reuter within the framework of a beer supply contract;  </w:t>
        <w:br/>
        <w:t xml:space="preserve">Having regard to Book IV of the Commercial Code and Decree No. 86-1309 of December 29, 1986, as amended, adopted for the application of Ordinance No. 86-1243 of December 1, 1986;  </w:t>
        <w:br/>
        <w:t xml:space="preserve">Having regard to the documents in the file;  </w:t>
        <w:br/>
        <w:t xml:space="preserve">The rapporteur, the general rapporteur, the Government Commissioner having been heard during the session of December 20, 2000, Mrs. Ziliotto having been duly summoned;  </w:t>
        <w:br/>
        <w:t xml:space="preserve">Considering that Mrs. Ziliotto has referred to the Competition Council practices implemented by Mr. Reuter, beer warehouseman, whose rights have been succeeded by the company Réga;  </w:t>
        <w:br/>
        <w:t xml:space="preserve">Considering that, except in the case of ex officio referral, the Competition Council can only be seized, by application of the combined provisions of Articles L. 462-5 and L. 462-1 of Book IV of the Commercial Code, by the minister responsible for the economy, businesses, local authorities, professional or trade union organizations, approved consumer organizations, agricultural chambers, craft chambers, and chambers of commerce and industry concerning the interests for which they are responsible;  </w:t>
        <w:br/>
        <w:t xml:space="preserve">Considering that this enumeration is restrictive; that, therefore, the Council cannot consider requests from individuals or organizations not belonging to one or the other of the categories mentioned above;  </w:t>
        <w:br/>
        <w:t xml:space="preserve">Considering that, for the application of the aforementioned provisions, a natural person may be qualified as a business, this qualification being subject to the condition that this person engages in an economic activity; that it appears from the file that Mrs. Ziliotto, who personally operated the beverage business of which she is the owner in Hagondange and for the supply of which a beer supply contract had been concluded with Mr. Reuter, beer warehouseman and lessor of the premises in which the business was operated, has claimed her retirement rights as of June 30, 1971, and has ceased all economic activity; that, although after this date, the claimant has given her business in lease management to a third party, the contract thus concluded did not have the effect of restoring to Mrs. Ziliotto the status of a business; that thus, notwithstanding the circumstance that the income derived from this lease is subject to corporate tax, Mrs. Ziliotto cannot be regarded as engaging in an economic activity within the meaning of the aforementioned provisions; that she therefore does not have the standing to refer to the Council; that consequently, it is appropriate to declare her referral inadmissible,  </w:t>
        <w:br/>
        <w:t xml:space="preserve">Decides:  </w:t>
        <w:br/>
        <w:t xml:space="preserve">Sole Article.- The referral registered under number F 989 is declared inadmissible.  </w:t>
        <w:br/>
        <w:t xml:space="preserve">Deliberated, on the oral report of Mrs. Palud, by Mrs. Hagelsteen, president, Mr. Cortesse, vice-president, and Mr. Ripotot, member.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