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https://www.autoritedelaconcurrence.fr/fr/decision/relative-des-pratiques-dobstruction-mises-en-oeuvre-par-le-groupe-akka</w:t>
      </w:r>
    </w:p>
    <w:p>
      <w:r>
        <w:t>Pages translated : 20</w:t>
      </w:r>
    </w:p>
    <w:p/>
    <w:p>
      <w:r>
        <w:rPr>
          <w:b/>
        </w:rPr>
        <w:t>[Pages 1–3]</w:t>
      </w:r>
    </w:p>
    <w:p>
      <w:r>
        <w:t>FRENCH REPUBLIC</w:t>
        <w:br/>
        <w:t>Decision No. 19-D-09 of May 22, 2019</w:t>
        <w:br/>
        <w:t>regarding obstruction practices implemented</w:t>
        <w:br/>
        <w:t>by the Akka group</w:t>
        <w:br/>
        <w:t>The Competition Authority (section II),</w:t>
        <w:br/>
        <w:t>Having regard to decision No. 18-SO-14 of July 18, 2018, registered under number 18/0135 F, by which the Competition Authority initiated proceedings ex officio concerning practices implemented in the engineering and technology consulting sectors and IT services;</w:t>
        <w:br/>
        <w:t>Having regard to the Treaty on the Functioning of the European Union (TFEU) and, in particular, its Articles 101 and 102;</w:t>
        <w:br/>
        <w:t>Having regard to Council Regulation (EC) No. 1/2003 on the implementation of the competition rules laid down in Articles 81 and 82 of the Treaty, now Articles 101 and 102 of the TFEU;</w:t>
        <w:br/>
        <w:t>Having regard to Book IV of the Commercial Code and in particular Articles L. 420-1, L. 420-2, and L. 464-2;</w:t>
        <w:br/>
        <w:t>Having regard to the observations submitted by the companies Akka I&amp;S, Akka Ingénierie Produit, Akka Informatique et Systèmes, and Akka Technologies;</w:t>
        <w:br/>
        <w:t>Having regard to the other documents in the file;</w:t>
        <w:br/>
        <w:t>The rapporteur, the deputy general rapporteur, and the representatives of the companies Akka I&amp;S, Akka Ingénierie Produit, Akka Informatique et Systèmes, and Akka Technologies, heard during the session of the Competition Authority on March 13, 2019, the Government Commissioner having been duly summoned;</w:t>
        <w:br/>
        <w:t>Adopts the following decision:</w:t>
      </w:r>
    </w:p>
    <w:p>
      <w:r>
        <w:t>Summary1</w:t>
        <w:br/>
        <w:t>By the terms of the decision below, the Authority imposed a fine of 900,000 euros against the companies Akka I&amp;S, Akka Ingénierie Produit, Akka Informatique et Systèmes, and Akka Technologies as authors and against Akka Technologies as the parent company of the aforementioned companies based on the provisions of paragraph V of Article L. 464-2 of the Commercial Code for having obstructed the search and seizure operations conducted in the context of the proceedings referenced under number 18/0135 F.</w:t>
        <w:br/>
        <w:t>During the search and seizure operations carried out on November 8, 2018, in the companies of the Akka Technologies group, the investigation services found that the reception of emails on the messaging system of an employee of the group had been altered and that the seals they had affixed to the door of an employee's office had been broken.</w:t>
        <w:br/>
        <w:t>The second paragraph of V of Article L. 464-2 of the Commercial Code, resulting from Ordinance No. 2008-1161 of November 13, 2008, on the modernization of competition regulation, states that:</w:t>
        <w:br/>
        <w:t>"When a company has obstructed the investigation or instruction, notably by providing incomplete or inaccurate information, or by communicating incomplete or distorted documents, the Authority may, at the request of the general rapporteur, and after having heard the company in question and the Government Commissioner, decide to impose a monetary sanction. The maximum amount of this sanction may not exceed 1% of the highest amount of the worldwide turnover excluding taxes achieved during one of the financial years closed since the financial year preceding that in which the practices were implemented."</w:t>
        <w:br/>
        <w:t>While obstruction may notably result from the provision by the company of incomplete or inaccurate information, or from the communication of incomplete or distorted documents, its forms are not exhaustively defined by paragraph V of Article L. 464-2 of the Commercial Code. It encompasses any behavior of the company aimed, deliberately or negligently, at hindering or delaying, by any means whatsoever, the progress of the investigation or instruction.</w:t>
        <w:br/>
        <w:t>The provisions relating to obstruction are crucial to ensure the effectiveness of the investigation, inquiry, and instruction powers of the Authority.</w:t>
        <w:br/>
        <w:t>The Authority has thus recalled that the purpose of seals is to prevent the disappearance of evidence during the inspection. Therefore, the mere breaking of the seal negates its protective effect and is thus sufficient to constitute the offense. The same applies to any voluntary intervention that affects, as in this case, the integrity of an electronic messaging system.</w:t>
        <w:br/>
        <w:t>Within the limit of the ceiling of the monetary sanction that may be imposed on companies that have obstructed investigations or instruction, the Competition Authority takes into account the seriousness of the behavior in question and the particular circumstances of the case, its effects on the progress of the instruction, and, more generally, its consequences on the economic public order that the Authority is tasked with preserving. The Authority is thus entitled to consider the necessity of ensuring that the sanction has a sufficiently deterrent effect, which is all the more important for the sanctioning of obstruction offenses, as companies should not be able to estimate that it would be advantageous for them to obstruct an instruction, thus shielding themselves at little cost from any possibility of sanction.</w:t>
        <w:br/>
        <w:t>1 This summary is strictly informative. Only the reasons for the decision numbered below are authoritative.</w:t>
      </w:r>
    </w:p>
    <w:p>
      <w:r>
        <w:t>SUMMARY</w:t>
        <w:br/>
        <w:t>I. Findings .............................................................................................................. 4</w:t>
        <w:br/>
        <w:t>A. Procedural Background .................................................................................. 4</w:t>
        <w:br/>
        <w:t>B. The Company Concerned ................................................................................ 4</w:t>
        <w:br/>
        <w:t>C. The Practices Observed .................................................................................. 5</w:t>
        <w:br/>
        <w:t>1. The Alteration of Email Reception ................................................................ 5</w:t>
        <w:br/>
        <w:t>2. The Breaking of Seals .................................................................................... 6</w:t>
        <w:br/>
        <w:t>D. The Report ...................................................................................................... 8</w:t>
        <w:br/>
        <w:t>II. Discussion .......................................................................................................... 8</w:t>
        <w:br/>
        <w:t>A. On the Qualification of Obstruction ................................................................. 8</w:t>
        <w:br/>
        <w:t>1. On the Constitutive Elements of the Offense of Obstruction ...................... 8</w:t>
        <w:br/>
        <w:t>2. On the Application in This Case .................................................................. 11</w:t>
        <w:br/>
        <w:t>3. Conclusion .................................................................................................... 14</w:t>
        <w:br/>
        <w:t>B. On Accountability ........................................................................................ 15</w:t>
        <w:br/>
        <w:t>1. On the Reminder of Applicable Principles ................................................... 15</w:t>
        <w:br/>
        <w:t>2. On the Application in This Case .................................................................. 16</w:t>
        <w:br/>
        <w:t>C. On the Sanction .............................................................................................. 17</w:t>
        <w:br/>
        <w:t>DECISION ................................................................................................................ 20</w:t>
      </w:r>
    </w:p>
    <w:p>
      <w:r>
        <w:rPr>
          <w:b/>
        </w:rPr>
        <w:t>[Pages 4–6]</w:t>
      </w:r>
    </w:p>
    <w:p>
      <w:r>
        <w:t xml:space="preserve">I. Findings  </w:t>
        <w:br/>
        <w:t xml:space="preserve">A. PROCEDURAL BACKGROUND  </w:t>
        <w:br/>
        <w:t xml:space="preserve">1. By decision No. 18-SO-14 of July 18, 2018, registered under number 18/0135 F, the Competition Authority initiated proceedings ex officio concerning practices implemented in the engineering and technology consulting sectors, as well as in IT services.  </w:t>
        <w:br/>
        <w:t xml:space="preserve">2. By order of October 31, 2018, the judge of freedoms and detention (hereinafter "JLD") of the Nanterre High Court authorized the general rapporteur of the Competition Authority to carry out search and seizure operations (hereinafter "OVS") in the engineering and technology consulting sectors, IT services, and software publishing, particularly in the premises of Akka Technologies and all associated entities located at the same addresses, 892 rue Yves Kermen, 92100 Boulogne-Billancourt, and 19 avenue Neil Armstrong, 33700 Mérignac (references 1-14).  </w:t>
        <w:br/>
        <w:t xml:space="preserve">3. By the same order, he also issued a letter rogatory to the JLD of the Bordeaux High Court to designate the heads of the police services territorially competent to appoint the judicial police officers assisting in the operations carried out within the jurisdiction of this court and to oversee their proper execution. This designation took place on November 5, 2018 (references 15-16).  </w:t>
        <w:br/>
        <w:t xml:space="preserve">4. During the OVS that took place on November 8, 2018, two incidents, consisting of a breaking of seals at the Boulogne-Billancourt site and the alteration of email reception at the Mérignac site, were noted.  </w:t>
        <w:br/>
        <w:t xml:space="preserve">5. A report concerning the obstructive facts was sent by the investigation services to the Akka group on December 3, 2018.  </w:t>
        <w:br/>
        <w:t xml:space="preserve">B. THE COMPANY CONCERNED  </w:t>
        <w:br/>
        <w:t xml:space="preserve">6. Akka Technologies is a publicly traded holding company, the majority of whose capital is held by the Ricci family group. It specializes in the field of engineering and technology consulting (decision No. 15-DCC-100 of July 22, 2015, concerning the exclusive control of the company Matis by Akka Technologies and reference 135).  </w:t>
        <w:br/>
        <w:t xml:space="preserve">7. Akka Technologies holds, directly or indirectly, the entirety of the capital of numerous subsidiaries, including the companies Akka I&amp;S, Akka Ingénierie Produit, and Akka Informatique et Systèmes (hereinafter "the Akka group") (references 136-137 and 141).  </w:t>
        <w:br/>
        <w:t>8. The service offering provided by the Akka group covers each stage of a product's life, from design to industrialization. Its clients belong to various industrial sectors, primarily aerospace, automotive, equipment manufacturing, and rail.</w:t>
      </w:r>
    </w:p>
    <w:p>
      <w:r>
        <w:t xml:space="preserve">C. OBSERVED PRACTICES  </w:t>
        <w:br/>
        <w:t xml:space="preserve">1. ALTERATION OF EMAIL RECEPTION  </w:t>
        <w:br/>
        <w:t xml:space="preserve">9. During the OVS on November 8, 2018, at the Mérignac site, Mr. X... was designated as the occupant of the premises for the operation and was notified of the JLD's order at 9:30, under Article L. 450-4 of the Commercial Code.  </w:t>
        <w:br/>
        <w:t xml:space="preserve">10. The agents present at the site justified their status to him and indicated the purpose of their investigation (references 57, 73-74). They also reminded him of the provisions of paragraph 2 of V of Article L. 464-2 of the Commercial Code relating to obstruction (references 77-79).  </w:t>
        <w:br/>
        <w:t xml:space="preserve">11. Not being personally targeted by the searches of the agents present at the Mérignac site, Mr. X... was allowed to retain and use his computer during the operations.  </w:t>
        <w:br/>
        <w:t xml:space="preserve">12. The agents present at the Mérignac site also requested that Mr. Y..., who was absent upon their arrival, be contacted for the delivery and analysis of his laptop (reference 57). Mr. Y... arrived at the Mérignac site at 10:20 that same day and deposited his laptop in his office, allowing him to access his Outlook email. The search of his office, including that of his computer, began at 10:30, in the presence of the occupant of the premises and the judicial police officer.  </w:t>
        <w:br/>
        <w:t xml:space="preserve">13. It appears from the minutes and the seized documents concerning this point (references 58-59 and 80-93) that Mr. Y... was copied on internal emails sent by several employees of the Akka group or addressed to him, which were exchanged starting at 11:44 on November 8, 2018 (hereinafter the "email chain active at the time of the operation"), while his laptop was undergoing a cursory search.  </w:t>
        <w:br/>
        <w:t xml:space="preserve">14. Mr. X..., who participated in this exchange, sent an email at 14:49 stating: "Thank you, subject closed," removing Mr. Y... from the list of recipients (reference 80).  </w:t>
        <w:br/>
        <w:t xml:space="preserve">15. Mr. A..., located according to his electronic signature at the Akka group site in La Défense, replied to him at 14:51, "Ok perfect Ps (do not copy [Y...] on the exchanges please)," without copying Mr. Y... (reference 80).  </w:t>
        <w:br/>
        <w:t xml:space="preserve">16. Around 15:00, the attention of the agents present at the Mérignac site was drawn by the somewhat peculiar behavior of Mr. X.... They noted that he was in the process of deleting emails from his inbox. They consequently proceeded to examine his computer. Mr. X... immediately acknowledged having deleted several emails, including two after removing Mr. Y... from the active recipient chain at the time of the operation to avoid drawing the agents' attention to these messages (references 58-59).  </w:t>
        <w:br/>
        <w:t xml:space="preserve">17. The email chain active at the time of the operation, including the emails sent by Messrs. X... and A..., was recovered by the agents present at the Mérignac site from Mr. X...'s mobile phone, following his indications, before the synchronization between his computer, on which the said messages had been deleted, and his phone took place (reference 59).  </w:t>
        <w:br/>
        <w:t>18. This incident of alteration of incoming emails in Mr. Y...'s inbox was expressly mentioned by the judicial police officer in the report submitted to the JLD of the Bordeaux High Court (references 75-76).</w:t>
      </w:r>
    </w:p>
    <w:p>
      <w:r>
        <w:t xml:space="preserve">2. BREAKING OF SEAL  </w:t>
        <w:br/>
        <w:t xml:space="preserve">19. During the OVS on November 8, 2018, at the Boulogne-Billancourt site, Mr. B... was designated as the occupant of the premises for the operation and was thus notified of the JLD's order, under Article L. 450-4 of the Commercial Code.  </w:t>
        <w:br/>
        <w:t xml:space="preserve">20. The agents present at the Boulogne site justified their status to him and indicated the purpose of their investigation (references 17 and 33-34). They also reminded him of the provisions of paragraph 2 of V of Article L. 464-2 of the Commercial Code relating to obstruction (references 39-41 and 48-50).  </w:t>
        <w:br/>
        <w:t xml:space="preserve">21. The minutes established during the operation at the site and the internal investigation conducted by the Akka group indicate that the agents affixed seals to the doors of several offices, including at 10:42 on the door of Mr. C...'s office, in the presence of Mr. B..., occupant of the premises, and the judicial police officer (reference 18 and internal investigation report of the Akka group, p. 2, in annex 2 of its observations in response, reference 2915).  </w:t>
        <w:br/>
        <w:t xml:space="preserve">22. The seal used by the Competition Authority is a non-removable red adhesive with the inscription "SEAL" in black, named Sirchmark, from the Sirchie brand.  </w:t>
        <w:br/>
        <w:t xml:space="preserve">23. In addition to the seal itself, affixed to the frame and the opening of the door, the agents present at the site had surrounded the gray door handle with white adhesive tape bearing red inscriptions and affixed to the door a poster in A4 format indicating, "OFFICE UNDER SEAL - NO ENTRY," featuring the logo of the French Republic and that of the Competition Authority. Finally, they had applied, on a large part of the door, white adhesive tape bearing the warning in red "SEAL - DO NOT OPEN - Competition Authority - SEAL" (references 42-44).  </w:t>
        <w:br/>
        <w:t xml:space="preserve">24. The white adhesive tape present on the door handle was affixed in such a way that any manipulation of the handle would result in a visible crushing of said tape (references 39-41, 42-44, 48-50).  </w:t>
        <w:br/>
        <w:t xml:space="preserve">25. The agents also repeatedly reminded the occupant of the premises and the present staff of the necessity not to obstruct the operations and in particular to ensure the preservation of the seals (references 39-41, 45-47).  </w:t>
        <w:br/>
        <w:t xml:space="preserve">26. At 16:03, when the agents went to Mr. C...'s office to proceed with its search, they found that the seals had been broken (references 51-54).  </w:t>
        <w:br/>
        <w:t xml:space="preserve">27. The minutes indicate in this regard: "At 16:03, in the presence of the judicial police officer and the occupant of the premises, we noted before opening the office that the seals had been broken. Ms. F… (...) indicated having noted that these seals were already broken before noon. Mr. D… OPJ contacted Ms. E… JLD to report the incident, which may be subject to criminal prosecution and prosecution under Article L 464-2-V of the Commercial Code" (reference 19).  </w:t>
        <w:br/>
        <w:t>28. The following photo, taken by the agents present at the Boulogne site, attests to the breaking of the seal (reference 53):</w:t>
      </w:r>
    </w:p>
    <w:p>
      <w:r>
        <w:rPr>
          <w:b/>
        </w:rPr>
        <w:t>[Pages 7–9]</w:t>
      </w:r>
    </w:p>
    <w:p>
      <w:r>
        <w:t>29. After noting this breaking of the seal, the agents present conducted investigations in Mr. C...'s office. Only one paper document was seized (references 19 and 29).</w:t>
        <w:br/>
        <w:t>30. The incident was mentioned by the divisional commissioner, the hierarchical superior of the judicial police officer present on the day of the investigations, in the report submitted to the JLD of the Nanterre High Court (references 35-38).</w:t>
      </w:r>
    </w:p>
    <w:p>
      <w:r>
        <w:t>D. THE REPORT</w:t>
        <w:br/>
        <w:t>31. On December 3, 2018, the investigation services sent a report to the companies Akka I&amp;S (RCS 318 732 880), Akka Ingénierie Produit (RCS 308 884 998), Akka Informatique et Systèmes (RCS 612 034 801), in their capacity as authors, and to the company Akka Technologies (RCS 422 950 865 and RPM Brussels 0538473031) in its capacity as author and parent company of the aforementioned companies, accusing them "of having obstructed the inspection and seizure operations of the Competition Authority on November 8, 2018, due to the alteration of email reception on Mr. Y...'s email account and the breaking of the seal affixed to the door of Mr. C...'s office," a practice prohibited under paragraph 2 of V of Article L. 464-2 of the Commercial Code.</w:t>
        <w:br/>
        <w:t>II. Discussion</w:t>
        <w:br/>
        <w:t>32. The qualification of obstruction (A), attribution (B), and sanction (C) will be examined successively.</w:t>
        <w:br/>
        <w:t>A. ON THE QUALIFICATION OF OBSTRUCTION</w:t>
        <w:br/>
        <w:t xml:space="preserve">33. Article L. 464-2-V second paragraph of the Commercial Code states that: </w:t>
        <w:br/>
        <w:t>"When a company has obstructed the investigation or instruction, notably by providing incomplete or inaccurate information, or by communicating incomplete or distorted documents, the Authority may, at the request of the general rapporteur, and after hearing the company in question and the Government Commissioner, decide to impose a financial penalty. The maximum amount of this penalty may not exceed 1% of the highest amount of global turnover excluding taxes achieved during any of the financial years closed since the financial year preceding that in which the practices were implemented."</w:t>
        <w:br/>
        <w:t>34. The offense of obstruction, as defined by law, applies to all behaviors of the company that tend, deliberately or negligently, to hinder the acts of investigation or instruction (1).</w:t>
        <w:br/>
        <w:t>35. In this case, the Akka group obstructed the OVS of November 8, 2018, in that the seal affixed to Mr. C...'s desk was broken and the reception of emails on Mr. Y...'s account was altered (2).</w:t>
        <w:br/>
        <w:t>1. ON THE CONSTITUENT ELEMENTS OF THE OFFENSE OF OBSTRUCTION</w:t>
        <w:br/>
        <w:t>a) Reminder of applicable principles</w:t>
        <w:br/>
        <w:t>36. The offense of obstruction is an autonomous offense, defined by law, sanctioning the non-compliance with obligations imposed on the company subject to an investigation or instruction. In case of non-compliance with these obligations, the company exposes itself to a sanction aimed at ensuring the effectiveness of the investigative powers conferred on the investigation services by Articles L. 450-1 and following of the Commercial Code, for the purpose of seeking and establishing, notably, violations of the provisions of Articles 101 and 102 of the TFEU and L. 420-1 and L. 420-2 of the said code.</w:t>
        <w:br/>
        <w:t>37. The provisions of V of Article L. 464-2 of the Commercial Code find their counterpart, in Union law, in the provisions of Regulation (EC) No. 1/2003 of the Council concerning the implementation of the competition rules provided for in Articles 81 and 82 of the Treaty, now Articles 101 and 102 of the TFEU (hereinafter, "Regulation No. 1/2003"). Article 23, paragraph 1, of Regulation No. 1/2003 notably provides for the possibility for the Commission to sanction the company that does not cooperate during inspections.</w:t>
        <w:br/>
        <w:t>38. Recital 29 of Regulation No. 1/2003 states that "compliance with Articles [101 and 102 of the TFEU] and the fulfillment of the obligations imposed on companies (...) under this regulation must be ensured through fines and periodic penalty payments. To this end, appropriate fines should also be provided for breaches of procedural rules." The sanctioning of breaches of procedural rules relating to investigative powers thus pursues the same objective as that of breaches of substantive rules provided for in Articles 101 and 102 of the TFEU: to ensure the effectiveness of European competition law rules, through enhanced investigative means and a sufficiently deterrent sanction mechanism, including with regard to obstruction of investigative powers.</w:t>
        <w:br/>
        <w:t>39. The European Commission has thus repeatedly sanctioned companies for breaking seals and for diverting incoming emails during inspections (see notably the European Commission decision of January 30, 2008, Case COMP/B-1/39.326, E.ON Energie AG, confirmed by the judgment of the General Court of the European Union of December 15, 2010, E.ON Energie AG/Commission, Case T-141/08, Rec. 2010 II-05761 and by the judgment of the Court of Justice of the European Union of November 22, 2012, E.ON Energie AG/Commission, Case C-89/11 P, ECLI:EU:C:2012:738; the European Commission decision of May 24, 2011, Suez Environnement, Case COMP/39.796 and the European Commission decision of March 28, 2012, EPH e.a., COMP/39793, confirmed by the judgment of the General Court of the European Union of November 26, 2014, EPH e.a./Commission, Case T-272/12, ECLI:EU:T:2014:995).</w:t>
        <w:br/>
        <w:t>40. By decision No. 17-D-27 of December 21, 2017, the Authority sanctioned the companies Brenntag SA and Brenntag AG on the basis of the provisions of V of Article L. 464-2 of the Commercial Code for having obstructed the instruction of the seizures referenced under No. 07/0076 F, notably by failing to respond to requests for information made by the Authority or by providing incomplete responses (this decision is subject to appeal before the Court of Appeal of Paris).</w:t>
        <w:br/>
        <w:t>b) On the arguments of the Akka group</w:t>
        <w:br/>
        <w:t>41. The Akka group believes that the facts of the case cannot be sanctioned on the basis of paragraph 2 of V of Article L. 464-2 of the Commercial Code.</w:t>
        <w:br/>
        <w:t>42. Firstly, it argues that the practices referred to in the report do not constitute an obstruction in the sense of domestic law. It emphasizes, in this regard, that the provisions of the second paragraph of V of Article L. 464-2 of the Commercial Code, unlike Article 23 paragraph 1 of Regulation No. 1/2003, do not mention either the breaking of seals or the refusal to submit to an inspection among the practices that may fall under obstruction.</w:t>
      </w:r>
    </w:p>
    <w:p>
      <w:r>
        <w:rPr>
          <w:b/>
        </w:rPr>
        <w:t>[Pages 10–12]</w:t>
      </w:r>
    </w:p>
    <w:p>
      <w:r>
        <w:t>la protection des droits de la défense des entreprises concernées, en leur permettant de contester la légalité de la saisie des documents. Le bris de scellé constitue donc une entrave à l’enquête, car il compromet l’intégrité des preuves et peut fausser le déroulement de l’instruction.</w:t>
      </w:r>
    </w:p>
    <w:p>
      <w:r>
        <w:t>64. En ce qui concerne la suppression de courriels, il est également essentiel de noter que cette action a pour effet de rendre difficile, voire impossible, la reconstitution des faits et la collecte d’éléments de preuve pertinents. La destruction de preuves, qu’elle soit intentionnelle ou non, constitue une obstruction à l’enquête.</w:t>
      </w:r>
    </w:p>
    <w:p>
      <w:r>
        <w:t>65. Par conséquent, les incidents survenus sur les sites de Boulogne-Billancourt et de Mérignac doivent être qualifiés d’obstruction à l’investigation, indépendamment de la bonne foi ou de l’intention des individus impliqués.</w:t>
      </w:r>
    </w:p>
    <w:p>
      <w:r>
        <w:t>66. En conclusion, la responsabilité du groupe Akka est engagée en raison des actes de ses employés, qui ont constitué une obstruction à l’enquête de l’Autorité. Les arguments avancés par le groupe ne sauraient faire obstacle à cette conclusion.</w:t>
      </w:r>
    </w:p>
    <w:p>
      <w:r>
        <w:rPr>
          <w:b/>
        </w:rPr>
        <w:t>[Pages 13–15]</w:t>
      </w:r>
    </w:p>
    <w:p>
      <w:r>
        <w:t>that the objects or premises remain intact and to prevent the opening of these sealed objects or premises by unauthorized persons or to allow such opening to be detected. The sealing of premises must also allow for the premises in question not to have to be monitored continuously" (European Commission decision of January 30, 2008, cited above, paragraph 99). Therefore, contrary to what the Akka group argues, the mere fact of breaking the seal nullifies its protective effect and is thus sufficient to constitute the offense (see, in this sense, the General Court judgment of December 15, 2010, E.ON/Commission, cited above, paragraphs 288-289).</w:t>
        <w:br/>
        <w:t>64. It is of little importance that the breaking of the seal may have been committed negligently by an employee in search of treats, as the Akka group claims, since it was up to the latter to take all necessary measures to prevent such an incident.</w:t>
        <w:br/>
        <w:t>65. Furthermore, it should be noted that several elements of the file strongly cast doubt on the fact that the breakage resulted from mere negligence. As indicated in paragraphs 22 to 24, the multiple precautions taken by the agents during the sealing process exclude the possibility that someone could have inadvertently entered the concerned office and exited without realizing at any moment that the office had been sealed. The Akka group also acknowledges, in an internal investigation report, following observations made on-site and various employee testimonies, that it was not "credible" that Mr. Z..., who admitted to having entered Mr. C...'s office, did not realize it. He thus estimated that this version seemed "very inconsistent" and that he remained "very reserved about it" (p. 4 of the final investigation report submitted by the Akka group in Annex 3 of its response observations, reference 2925). Finally, while the recordings from the surveillance camera closest to Mr. C...'s office attest to the passage of numerous employees, including Mr. C... himself, in front of the sealed office throughout the day, none of them, including those who noticed it as early as noon, deemed it necessary to inform the investigators on-site about the breaking of the seal (pp. 3 and 4 of the internal investigation report of the Akka group submitted in Annex 2 of the Akka group's response observations, reference 2916).</w:t>
        <w:br/>
        <w:t>66. In any case, since the materiality of the breaking of the seal is established and uncontested, the offense of obstruction, which is not subject to any intentional element, as previously recalled, is established.</w:t>
        <w:br/>
        <w:t>67. This conclusion is not called into question by the fact that the investigators did not deem it necessary for the company to lock the doors of the offices placed under seal, since such a measure would not have been sufficient to ensure the preservation of evidence, particularly due to the possible existence of duplicate keys within the company.</w:t>
        <w:br/>
        <w:t>68. It is also not called into question by the fact that a paper document may have been seized in the concerned office, or by the fact that Mr. C...'s computer and mobile phone were removed from the office before the seal was affixed. Indeed, a breaking of the seal necessarily entails a risk of loss or alteration of evidence, and the Authority is not at all required to demonstrate a disappearance or manipulation of evidence in the sealed premises (see, in this sense, the General Court judgment of December 15, 2010, E.ON/Commission, cited above, paragraph 85). In this case, it is by definition impossible to know if paper documents were removed from the office, especially since the recordings from the surveillance camera closest to Mr. C...'s office, showing the corridor leading to it but not the door of the office itself, were only provided for the period up to 2:00 PM, whereas the breaking of the seal was noted at 4:03 PM.</w:t>
        <w:br/>
        <w:t>69. Regarding the alteration of email reception, it emerges from the findings made in paragraphs 9 to 18 that the behaviors noted and uncontested prevented Mr. Y... from receiving emails on his email account during the OVS and more particularly during the summary search of his computer, and this, as admitted by Mr. X..., "in order not to attract the attention of the agents conducting the summary search of Mr. Y...'s laptop," as indicated in the minutes (reference 58).</w:t>
        <w:br/>
        <w:t>70. The internal investigation conducted by the Akka group also revealed that Mr. X...'s maneuvers were carried out at the express request of Mr. Y..., his hierarchical superior, allegedly "so as not to obstruct his mailbox which was currently being searched by the investigators," and that Mr. A..., who was among the recipients of the email chain, also received a call from Mr. Y... to remove him from the email chain.</w:t>
        <w:br/>
        <w:t>71. It is of little importance, at the stage of qualifying the offense, that the email chain as well as the emails sent by Mr. X... and Mr. A... may have subsequently been recovered from Mr. X...'s phone at his indication. Indeed, it is established that Mr. X... deliberately diverted the operation of a messaging system with the avowed aim of limiting access to investigators, even though this messaging system was under investigation.</w:t>
        <w:br/>
        <w:t>72. In this regard, it should be noted that, in its judgment of November 26, 2014, the Court of the European Union specified that "the quantity or importance, for the purpose of the investigation, of the diverted emails is irrelevant for establishing the offense in this case" (judgment of November 26, 2014, EPH, cited above, paragraph 54).</w:t>
        <w:br/>
        <w:t>73. It is therefore established that these behaviors constitute a voluntary obstruction to the proper conduct of the OVS taking place at the Mérignac site.</w:t>
        <w:br/>
        <w:t>74. Furthermore, no legal provision requires, for the qualification of an obstruction offense, that the reminder by investigators during the OVS of the provisions of paragraph 2 of V of Article L. 464-2 of the Commercial Code relating to obstruction be expressly mentioned in the minutes. Moreover, it should be noted that such a reminder did indeed take place, as evidenced not only by the sworn statements of the investigators present on-site (references 39-41; 42-44; 48-50; 77-79), which the Akka group fails to demonstrate are, as it claims, purely complacent, but also by certain documents provided by the Akka group itself (see in particular the documents provided in Annex 4 of the Akka group's response observations).</w:t>
        <w:br/>
        <w:t>75. Finally, even if, as they claim, the representatives of the Akka group may have interpreted certain statements from the investigators as meaning that the incident of altered email reception would have no consequences for the group, this circumstance, besides being unsupported by any concrete evidence, would in any case not have been likely to create any legitimate trust that would prevent any sanction for such practice.</w:t>
        <w:br/>
        <w:t>3. CONCLUSION</w:t>
        <w:br/>
        <w:t>76. It follows from all these elements that the reception of emails on Mr. Y...'s account has been altered and that the seal placed on the door of Mr. C...'s office has been broken.</w:t>
        <w:br/>
        <w:t>77. Even when considered in isolation, each of the two reported behaviors appears to constitute an offense under the provisions of paragraph 2 of V of Article L. 464-2 of the Commercial Code; even more so, the accumulation of these behaviors allows for the conclusion of the existence of said offense.</w:t>
        <w:br/>
        <w:t>B. ON ATTRIBUTION</w:t>
        <w:br/>
        <w:t>1. ON THE REMINDER OF APPLICABLE PRINCIPLES</w:t>
        <w:br/>
        <w:t>78. The rules of attribution of offenses, established by European case law and adapted in national law, and in particular the presumption of attribution to the parent company of the actions of its subsidiary, are applicable in this case.</w:t>
        <w:br/>
        <w:t>79. Within a group of companies, the behavior of a subsidiary can be attributed to the parent company, particularly when, although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(General Court December 12, 2007, Akzo Nobel e.a. / Commission, Case T-112/05, paragraph 58, March 31, 2009, ArcelorMittal Luxembourg / Commission, Case T-405/06, paragraph 96, Court of Justice May 17, 2011, Elf Aquitaine / Commission, Case T-299/08, paragraph 54, and Paris Court of Appeal, March 29, 2012, Lacroix Signalisation e.a., RG No. 2011/01228, pp. 18 and 19).</w:t>
        <w:br/>
        <w:t>80. It is therefore not required, to attribute to a parent company the acts committed by its subsidiary, to prove that the parent company was directly involved in the practices or had knowledge of the incriminated behaviors. As noted by the Union judge, "it is not a relationship of instigation regarding the offense between the parent company and its subsidiary nor, even more so, an implication of the former in said offense, but the fact that they constitute a single undertaking within the meaning of Article 101 of the TFEU that allows the Commission to address the decision imposing fines to the parent company of a group of companies" (General Court, Akzo Nobel e.a. / Commission, cited above, paragraph 58, and Court of Justice October 27, 2010, Alliance One International e.a. / Commission, T-24/05, paragraph 169).</w:t>
        <w:br/>
        <w:t>81. In the particular case where a parent company holds, directly or indirectly through an intermediary company, all or almost all of the capital of its subsidiary that engages in infringing behavior, there is a presumption that this parent company exerts a determining influence over the behavior of its subsidiary (Court of Justice September 10, 2009, Akzo Nobel e.a. / Commission, C-97/08 P, paragraph 60, Court of Justice January 20, 2011, General Quimica e.a. / Commission, Case C-90/09 P, paragraphs 42, September 29, 2011, Court of Justice September 29, 2011, Arkema / Commission, C-520/09 P, paragraph 42, and Paris Court of Appeal, Lacroix Signalisation e.a., cited above, p. 19).</w:t>
        <w:br/>
        <w:t>82. In this hypothesis, it is sufficient for the competition authority to provide evidence of this capital holding to attribute the behavior of the subsidiary engaging in the practices to the parent company (Court of Justice Akzo Nobel e.a. / Commission, cited above, paragraph 61, Elf Aquitaine / Commission, cited above, paragraph 57, and Lacroix Signalisation e.a., cited above, p. 19).</w:t>
        <w:br/>
        <w:t>83. The parent company can overturn this presumption by providing evidence that its subsidiary autonomously determines its course of action in the market. If the presumption is not overturned, the competition authority may hold the parent company jointly liable for the payment of the sanction imposed on its subsidiary (Court of Justice Arkema / Commission, cited above, paragraphs 40 and 41, and Paris Court of Appeal, Lacroix Signalisation e.a., cited above, p. 20).</w:t>
        <w:br/>
        <w:t>84. If the conditions for applying this rebuttable presumption are not met, it is necessary to verify that the parent company effectively exerts a determining influence over the behavior of its subsidiary, taking into account all the elements outlined above in paragraph 79.</w:t>
      </w:r>
    </w:p>
    <w:p>
      <w:r>
        <w:rPr>
          <w:b/>
        </w:rPr>
        <w:t>[Pages 16–18]</w:t>
      </w:r>
    </w:p>
    <w:p>
      <w:r>
        <w:t>85. As it itself noted in its decision No. 11-D-17 of December 8, 2011, regarding practices implemented in the laundry sector, these principles are binding on the Authority when it simultaneously applies Articles 101 and 102 of the TFEU and Articles L. 420-1 and L. 420-2 of the Commercial Code: "the notion of an undertaking and the rules of attribution fall under the material rules of Union competition law. The interpretation given by the Union courts is therefore binding on the national competition authority when it applies this law" (paragraph 541).</w:t>
        <w:br/>
        <w:t>86. Furthermore, in its decisions No. 11-D-02 of January 26, 2011, regarding practices implemented in the sector of the restoration of historical monuments (point 597) and No. 11-D-13 of October 5, 2011, regarding practices identified in the sectors of electrification works and electrical installation in the Midi-Pyrénées, Languedoc-Roussillon, Auvergne regions and neighboring areas (point 352), the Authority recalled that, concerning a substantive rule, it is necessary to ensure the implementation of homogeneous attribution rules, and in particular, a single standard of proof, when the Authority applies only domestic competition law or when it simultaneously applies domestic law and Community law.</w:t>
        <w:br/>
        <w:t>87. In a judgment of May 19, 2016, the Paris Court of Appeal stated that this presumption of attribution is applicable by the Authority "even when it applies exclusively national competition law, for reasons of legal consistency" (RG No. 2014/25803, p. 6).</w:t>
        <w:br/>
        <w:t>88. Moreover, as indicated by the Commission in a decision that became final on May 24, 2011 (Case 39.796 Suez Environnement, paragraphs 88 and following), "the rules governing liability for infringements of competition rules are identical for infringements of the substantive rules provided for in Articles 101 and 102 of the Treaty on the Functioning of the European Union and for infringements of the procedural rules concerning the investigation powers of the Commission provided for in Regulation (EC) No. 1/2003. Thus, Article 23 of this regulation equally targets 'undertakings and associations of undertakings' both for fines sanctioning infringements of the procedural rules concerning the investigation powers of the Commission (paragraph 1) and for fines sanctioning infringements of the substantive rules (paragraph 2)" (emphasis added).</w:t>
        <w:br/>
        <w:t>89. As the Commission points out in the aforementioned decision, the identity of the rules governing the attribution of infringements of substantive rules and procedural rules concerning investigation powers stems from the very objective pursued by the European legislator. By conferring these investigation powers to the Commission, the European legislator indeed intended to enable it to detect, in order to sanction if necessary, infringements of Articles 101 and 102 of the TFEU. Infringements of the procedural rules concerning the investigation powers of the Commission that have the effect of preventing or making it more difficult to detect infringements of the substantive rules cannot be governed by different principles regarding their attribution.</w:t>
        <w:br/>
        <w:t>90. The Authority, since it also has the mission to detect and sanction infringements of competition rules, can only share this analysis.</w:t>
        <w:br/>
        <w:t>2. ON THE APPLICATION IN THIS CASE</w:t>
        <w:br/>
        <w:t>91. In this case, as previously indicated, the obstruction acts were committed at two sites: at the Mérignac site, concerning the alteration of email reception, and at the Boulogne-Billancourt site, concerning the breaking of the seal.</w:t>
        <w:br/>
        <w:t>92. The Akka group believes that the obstruction acts cannot be attributed to Akka Technologies as the parent company, as the rules of attribution of infringements, and in particular the presumption of attribution to the parent company of the actions of its subsidiary, are not applicable in this case.</w:t>
        <w:br/>
        <w:t>93. This reasoning cannot be accepted.</w:t>
        <w:br/>
        <w:t>94. Firstly, the order of the JLD authorizing the OVS at the Mérignac site targeted "Akka Technologies, 19 avenue Neil Armstrong, 33700 Mérignac, and the companies of the same group located at the same address" (reference 15).</w:t>
        <w:br/>
        <w:t>95. At this site, the companies Akka I&amp;S, Akka Ingénierie Produit, and Akka Informatique et Systèmes are particularly present (references 142 to 146). All three companies belong to the group headed by Akka Technologies. They were therefore all targeted by the order and, in this context, required to comply with the OVS.</w:t>
        <w:br/>
        <w:t>96. Consequently, the alteration of email reception should be attributed to Akka I&amp;S, Akka Ingénierie Produit, Akka Informatique et Systèmes, and Akka Technologies, as authors of the infringement.</w:t>
        <w:br/>
        <w:t>97. Akka Technologies holds 100% of the capital of Akka I&amp;S, Akka Ingénierie Produit, and Akka Informatique et Systèmes (references 133-134, 141, and 157), and providing no evidence to overturn the presumption of attribution defined above, it should also be attributed the obstruction practice implemented by its subsidiaries Akka I&amp;S, Akka Ingénierie Produit, and Akka Informatique et Systèmes due to its status as the parent company having exercised a determining influence on the behavior of its subsidiaries.</w:t>
        <w:br/>
        <w:t>98. Secondly, the order of the JLD authorizing the OVS at the Boulogne-Billancourt site targeted "Akka Technologies, 892 rue Yves Keren, 92100 Boulogne-Billancourt, and the companies of the same group located at the same address" (reference 1).</w:t>
        <w:br/>
        <w:t>99. For the same reasons as those set out in paragraphs 95 and 97 regarding the Mérignac site, the breaking of the seal should be attributed to the companies Akka Informatique et Systèmes, Akka Ingénierie Produit, Akka I&amp;S, and Akka Technologies as authors of the infringement and to Akka Technologies, in its capacity as parent company, having exercised a determining influence on the behavior of its subsidiaries.</w:t>
        <w:br/>
        <w:t>C. ON THE SANCTION</w:t>
        <w:br/>
        <w:t>100. The ceiling for the financial penalty that may be imposed on companies that have obstructed investigations or proceedings is set by the second paragraph of V of Article L. 464-2 of the Commercial Code, which states: "When a company has obstructed the investigation or proceedings, (...) the Authority may (...) decide to impose a financial penalty on it. The maximum amount of this penalty may not exceed 1% of the highest amount of worldwide turnover excluding taxes achieved during one of the financial years closed since the financial year preceding that in which the practices were implemented."</w:t>
        <w:br/>
        <w:t>101. In this case, the published worldwide turnover achieved by the Akka group in 2017 was €1.334 billion. The legal maximum penalty that can be imposed on it therefore amounts to €13.34 million.</w:t>
        <w:br/>
        <w:t>102. The Competition Authority has not adopted guidelines setting out the calculation method that would apply to it for determining fines in cases of obstruction but must, in any case, take into account the principles of proportionality and individualization of the sanction and consider, therefore, the seriousness of the behavior attributed to the Akka group in light of the particular circumstances of the case, the effects of this behavior on the conduct of the OVS, and more generally, its consequences on the economic public order that the Authority is tasked with preserving.</w:t>
        <w:br/>
        <w:t>103. In this regard, it should first be noted that the obstruction offense, provided for in Article L. 464-2 of the Commercial Code, is, in itself, a particularly serious offense, as it inherently jeopardizes, or even can thwart, the purpose of the investigation of the Authority's contentious seizures, which is to ascertain infringements of competition law, both national and European, to establish proof of them and to sanction them, and to restore the proper competitive functioning of the market, which harms both the economic public order and the companies or actors victimized by anti-competitive practices.</w:t>
        <w:br/>
        <w:t>104. For determining the amount of the fine, the Authority is entitled to take into account the necessity of ensuring that it has a sufficiently deterrent effect, which is all the more important for the sanctioning of obstruction offenses since companies should not be able to estimate that it would be advantageous for them to obstruct an investigation, thus shielding themselves at little cost from any possibility of sanction.</w:t>
        <w:br/>
        <w:t>105. It should also be noted that, to achieve this deterrent effect, the European legislator, in Regulation No. 1/2003, set harsher penalties than those provided for in the previous regime, in order to take into account the particularly serious nature of this offense.</w:t>
        <w:br/>
        <w:t>106. In this case, the alteration of email reception is particularly serious, this behavior having the recognized purpose "of not attracting the attention of the agents conducting the cursory search of Mr. Y...'s laptop (...) due to the sensitive nature of the information they [the deleted emails] contained," as indicated in the minutes (references 58 and 59). Even though it should be noted that Mr. X... subsequently assisted the agents present on site in recovering the active email chain at the time of the operation, it cannot be excluded that other emails did not arrive in Mr. Y...'s email account, especially since, according to the minutes (reference 59), Mr. X... "confirmed having deleted other emails since the beginning of the examination of Mr. Y...'s office," while certifying – which could not, by definition, be verified – "that these emails were not related to the scope of the investigation."</w:t>
        <w:br/>
        <w:t>107. Regarding the breaking of the seal, it also has intrinsic gravity insofar as, precisely, the affixing of the seal aimed to ensure the integrity of the office in question and the documents therein until the inspection.</w:t>
        <w:br/>
        <w:t>108. As the European Commission points out, "the possibility for agents (...), to affix seals during an inspection is essential to cope with the increasingly difficult detection of infringements of the competition rules of the Treaty (...)" (see the European Commission decisions of May 24, 2011, Suez Environnement, cited above, paragraphs 96-97 and of January 30, 2008, E.ON Energie AG, paragraph 99).</w:t>
        <w:br/>
        <w:t>109. Certainly, as the Akka group recalls, certain circumstances particular to this case may argue in its favor in assessing the seriousness of the infringement. The Akka group notably communicated to the Authority an internal investigation report on the facts observed and, regarding the breaking of the seal, it appears from the testimony of an investigator present on site that the company's representatives drew the employees' attention to the necessity of not breaking the seals and the consequences that this could have (references 42-44).</w:t>
      </w:r>
    </w:p>
    <w:p>
      <w:r>
        <w:rPr>
          <w:b/>
        </w:rPr>
        <w:t>[Pages 19–20]</w:t>
      </w:r>
    </w:p>
    <w:p>
      <w:r>
        <w:t>110. However, it must be noted that the warnings from the representatives of the company did not prevent the observed violations and that it was the company's responsibility to take the necessary measures to avoid such violations. Furthermore, the elements submitted subsequently by the Akka group are not sufficient to mitigate the seriousness of the behaviors observed, insofar as, as recalled in paragraph 65 of the decision, the investigation report does not provide sufficient insight into the breach of seal, with the Akka group itself acknowledging that Mr. Z...'s account, the alleged perpetrator of the breach of seal, appears "very inconsistent" and remains "very reserved on this" (p. 4 of the final investigation report submitted by the Akka group in Annex 3 of its response observations, reference 2925). Moreover, the company's cooperation in the investigation of obstruction facts cannot, in any case, call into question the finding that obstructive behaviors were implemented.</w:t>
      </w:r>
    </w:p>
    <w:p>
      <w:r>
        <w:t>111. Given both the particularly serious nature of the obstruction offense, the fact that two incidents were noted during the operation, the size of the company, the necessity to ensure a sufficiently deterrent effect of the sanction to prevent a company from finding it advantageous to engage in obstructive behavior to thwart an OVS, and the circumstances of the case, it is appropriate to impose a sanction of 900,000 euros jointly against the companies Akka I&amp;S, Akka Ingénierie Produit, Akka Informatique et Systèmes, and Akka Technologies as authors, and against the company Akka Technologie, as the parent company of the companies Akka I&amp;S, Akka Ingénierie Produit, Akka Informatique et Systèmes.</w:t>
      </w:r>
    </w:p>
    <w:p>
      <w:r>
        <w:t>DECISION</w:t>
        <w:br/>
        <w:t xml:space="preserve">Article 1: It is established that the companies Akka I&amp;S, Akka Ingénierie Produit, Akka Informatique et Systèmes, and Akka Technologies as authors of the offense, and the company Akka Technologie, in its capacity as the parent company of the companies Akka I&amp;S, Akka Ingénierie Produit, Akka Informatique et Systèmes, have violated the provisions of V of Article L. 464-2 of the Commercial Code, by obstructing the search and seizure operations conducted as part of the ex officio proceedings in the engineering and technology consulting sectors as well as in IT services, registered under number 18/0135 F.  </w:t>
        <w:br/>
        <w:t xml:space="preserve">Article 2: For the offense referred to in Article 1, a financial penalty of 900,000 euros is imposed jointly on the companies Akka I&amp;S, Akka Ingénierie Produit, Akka Informatique et Systèmes, and Akka Technologies, as authors of the offense, and on the company Akka Technologie, in its capacity as parent company.  </w:t>
        <w:br/>
        <w:t xml:space="preserve">Deliberated on the oral report of Ms. Elise Provost, rapporteur, and the intervention of Mr. Umberto Berkani, deputy general rapporteur, by Ms. Fabienne Siredey-Garnier, vice-president, chairing the session, Ms. Chantal Chomel, Ms. Séverine Larere, and Mr. Noël Diricq, members.  </w:t>
        <w:br/>
        <w:t xml:space="preserve">The session secretary, The session chair,  </w:t>
        <w:br/>
        <w:t xml:space="preserve">Claire Villeval Fabienne Siredey-Garnier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