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https://www.autoritedelaconcurrence.fr/fr/decision/relative-des-pratiques-dobstruction-mises-en-oeuvre-par-le-groupe-les-mousquetaires</w:t>
      </w:r>
    </w:p>
    <w:p>
      <w:r>
        <w:t>Pages translated : 13</w:t>
      </w:r>
    </w:p>
    <w:p/>
    <w:p>
      <w:r>
        <w:rPr>
          <w:b/>
        </w:rPr>
        <w:t>[Pages 1–3]</w:t>
      </w:r>
    </w:p>
    <w:p>
      <w:r>
        <w:t xml:space="preserve">FRENCH REPUBLIC  </w:t>
        <w:br/>
        <w:t xml:space="preserve">Decision No. 21-D-19 of July 19, 2021  </w:t>
        <w:br/>
        <w:t xml:space="preserve">Regarding obstruction practices implemented by the Les Mousquetaires group  </w:t>
        <w:br/>
        <w:t xml:space="preserve">The Autorité de la concurrence (Permanent Commission),  </w:t>
        <w:br/>
        <w:t xml:space="preserve">Having regard to the letter of September 21, 2012, registered under No. 12/0080 F, by which the company Établissements Guy Harang SA referred to the Autorité de la concurrence practices implemented in the pig slaughtering and cutting sector in the Paris region;  </w:t>
        <w:br/>
        <w:t xml:space="preserve">Having regard to decision No. 13-SO-01 of January 30, 2013, registered under No. 13/0006 F, by which the Autorité de la concurrence took up the practices implemented in the sector of purchasing and selling pork parts and charcuterie products;  </w:t>
        <w:br/>
        <w:t xml:space="preserve">Having regard to decision No. 20-D-09 of July 16, 2020, regarding practices implemented in the sector of purchasing and selling pork parts and charcuterie products;  </w:t>
        <w:br/>
        <w:t xml:space="preserve">Having regard to Book IV of the Commercial Code and in particular its Articles L. 420-1 and L. 464-2;  </w:t>
        <w:br/>
        <w:t xml:space="preserve">Having regard to the decision of April 25, 2014, joining the investigations of referrals No. 12/0080 F and No. 13/0006 F;  </w:t>
        <w:br/>
        <w:t xml:space="preserve">Having regard to the report of July 22, 2019, regarding the implementation of V of Article L. 464-2, paragraph 2, of the Commercial Code, concerning obstruction by the Les Mousquetaires group to the investigation or instruction of the services of the Authority;  </w:t>
        <w:br/>
        <w:t xml:space="preserve">Having regard to the observations presented by the company Les Mousquetaires, the Société Civile des Mousquetaires, the company Salaisons Celtiques, and the company S.C.O.;  </w:t>
        <w:br/>
        <w:t xml:space="preserve">Having regard to the other documents in the file;  </w:t>
        <w:br/>
        <w:t xml:space="preserve">The rapporteur, the general rapporteur, and the representatives of the Les Mousquetaires group, heard during the session of the Autorité de la concurrence on May 26, 2021, the Government Commissioner having been regularly summoned;  </w:t>
        <w:br/>
        <w:t>Adopts the following decision:</w:t>
      </w:r>
    </w:p>
    <w:p>
      <w:r>
        <w:t xml:space="preserve">Summary1:  </w:t>
        <w:br/>
        <w:t xml:space="preserve">Under the terms of this decision, the Autorité de la concurrence (hereinafter "the Authority") issues a dismissal for practices implemented by the Les Mousquetaires group. In a report dated July 22, 2019, the investigative services considered that the Les Mousquetaires group had hindered the investigation process by failing to inform them of the existence of a dissolution-confusion operation, whereby the sole shareholder of the company Salaisons du Guéméné, a subsidiary of the group, had approved the dissolution without liquidation of the company. However, prior to this operation, the investigative services had notified Salaisons du Guéméné of a grievance related to its participation in a cartel, as part of the investigation of the referral referenced under No. 13/0006 F. The report considered that by failing to inform the investigative services of the dissolution of its subsidiary, the Les Mousquetaires group would have violated the obligation to inform to which the recipients of grievances are subject in the event of a change in their legal situation, as provided for in the first paragraph of Article L. 463-2 of the Commercial Code. In doing so, it would have committed a prohibited obstruction practice under the second paragraph of section V of Article L. 464-2 of the Commercial Code. However, the Authority considered, based on the elements available to it, that the investigative services had not provided sufficient elements in their report to demonstrate that the practices of the Les Mousquetaires group had sought to obstruct or delay the conduct of the investigation or instruction and that no obstruction practice was thus established in this case. To reach this conclusion, it notably retained that the dissolution-confusion operation for which the investigative services reproached the defendants for lack of communication was, contrary to the information referred to in Article L. 463-2, not likely to modify the conditions under which the companies of the Les Mousquetaires group were represented or under which the grievances could be attributed to them.  </w:t>
        <w:br/>
        <w:t xml:space="preserve">1 This summary is strictly indicative. Only the reasons for the decision numbered below are authoritative.  </w:t>
        <w:br/>
        <w:t>2</w:t>
      </w:r>
    </w:p>
    <w:p>
      <w:r>
        <w:t xml:space="preserve">SUMMARY  </w:t>
        <w:br/>
        <w:t xml:space="preserve">I. FINDINGS ........................................................................................................ 4  </w:t>
        <w:br/>
        <w:t xml:space="preserve">A. THE PROCEDURE .......................................................................................................... 4  </w:t>
        <w:br/>
        <w:t xml:space="preserve">B. THE ENTITIES CONCERNED ................................................................................... 5  </w:t>
        <w:br/>
        <w:t xml:space="preserve">C. THE PRACTICES NOTED ......................................................................................... 6  </w:t>
        <w:br/>
        <w:t xml:space="preserve">D. THE REPORT ................................................................................................................ 7  </w:t>
        <w:br/>
        <w:t xml:space="preserve">II. DISCUSSION .................................................................................................... 8  </w:t>
        <w:br/>
        <w:t xml:space="preserve">A. ON THE QUALIFICATION OF OBSTRUCTION ................................................ 8  </w:t>
        <w:br/>
        <w:t xml:space="preserve">1. RECALL OF PRINCIPLES ............................................................................................... 8  </w:t>
        <w:br/>
        <w:t xml:space="preserve">2. APPLICATION IN THIS CASE .................................................................................. 10  </w:t>
        <w:br/>
        <w:t xml:space="preserve">B. CONCLUSION ............................................................................................................. 12  </w:t>
        <w:br/>
        <w:t xml:space="preserve">DECISION ..................................................................................................... 13  </w:t>
        <w:br/>
        <w:t>3</w:t>
      </w:r>
    </w:p>
    <w:p>
      <w:r>
        <w:rPr>
          <w:b/>
        </w:rPr>
        <w:t>[Pages 4–6]</w:t>
      </w:r>
    </w:p>
    <w:p>
      <w:r>
        <w:t xml:space="preserve">I. Findings  </w:t>
        <w:br/>
        <w:t xml:space="preserve">A. THE PROCEDURE  </w:t>
        <w:br/>
        <w:t xml:space="preserve">1. By letter dated September 21, 2012, registered under No. 12/0080 F, the Autorité de la concurrence (hereinafter "the Authority") was seized of a complaint from the public limited company Établissements Guy Harang concerning the pig slaughtering sector in the Paris region, in which it denounced a double cartel among several charcutiers-salaisonniers. The complainant argued that several charcuterie-salaisonnerie companies had colluded to, on the one hand, set an artificially high price in the Rungis market for a limited number of pieces of ham without moisture (hereinafter "JSM") and, on the other hand, acquire the remainder of their pieces from the entire supply chain at a lower price.  </w:t>
        <w:br/>
        <w:t xml:space="preserve">2. By decision No. 13-SO-01 of January 30, 2013, registered under No. 13/0006 F, the Authority initiated proceedings ex officio regarding practices implemented in the sector of purchasing and selling pork parts and charcuterie products. The ex officio initiation occurred after receiving two leniency requests made on behalf of the Campofrio group, concerning practices implemented in the sectors, on the one hand, of sourcing JSM parts by the salaisonniers from the slaughterhouses and, on the other hand, of selling charcuterie and salaisonnerie products marketed under distributor brands (hereinafter "MDD") or as budget brands in France.  </w:t>
        <w:br/>
        <w:t xml:space="preserve">3. On May 15, 2013, with the authorization of the judge of liberties and detention, by order of May 2, 2013, based on Article L. 450-4 of the Commercial Code, the Authority conducted inspection and seizure operations at the premises of several companies, including the company Salaisons Celtiques of the Les Mousquetaires group.  </w:t>
        <w:br/>
        <w:t xml:space="preserve">4. Following these operations, on September 25, 2013, the deputy general rapporteur of the Authority received a new leniency request made on behalf of the Coop group concerning practices implemented in the French market for charcuterie products, notably MDD.  </w:t>
        <w:br/>
        <w:t xml:space="preserve">5. By decision of April 25, 2014, the deputy general rapporteur joined the cases No. 12/0080 F and No. 13/0006 F pursuant to Article R. 463-3 of the Commercial Code.  </w:t>
        <w:br/>
        <w:t xml:space="preserve">6. On February 12, 2018, the investigation services sent a statement of objections to several charcuterie-salaisonnerie companies. Some of them belonged to the Les Mousquetaires group, namely the company Les Mousquetaires, the Société Civile des Mousquetaires, S.C.O., Salaisons du Guéméné, and Salaisons Celtiques.  </w:t>
        <w:br/>
        <w:t xml:space="preserve">7. On July 17, 2019, the investigation services sent the report provided for in the second paragraph of Article L. 463-2 of the Commercial Code to the aforementioned companies of the Les Mousquetaires group, except for Salaisons du Guéméné, which was subject to a dissolution-merger operation by the company Salaisons Celtiques, from the end of 2018 until the beginning of 2019.  </w:t>
        <w:br/>
        <w:t xml:space="preserve">8. On July 26, 2019, the investigation services notified a report to the company Les Mousquetaires, the Société Civile des Mousquetaires, and the company Salaisons Celtiques for not having informed them of the dissolution-merger of the company Salaisons du Guéméné by the company Salaisons Celtiques.  </w:t>
        <w:br/>
        <w:t xml:space="preserve">9. On October 7, 2019, and then on May 21, 2021, the company Les Mousquetaires, the Société Civile Les Mousquetaires, and the company Salaisons Celtiques submitted observations in response to the report, contesting the grievance held against them.  </w:t>
        <w:br/>
        <w:t xml:space="preserve">10. By decision No. 20-D-09 of July 16, 2020, the Authority imposed fines on several companies active in the sector of purchasing and selling pork parts, including the aforementioned companies of the Les Mousquetaires group, for having implemented anti-competitive practices.  </w:t>
        <w:br/>
        <w:t xml:space="preserve">B. THE ENTITIES CONCERNED  </w:t>
        <w:br/>
        <w:t xml:space="preserve">11. The Les Mousquetaires group is a French distribution group, also active in the manufacturing of products under its own brands. It comprises 3,100 independent members, of which 1,350 are associated within the Société Civile des Mousquetaires (RCS No. 344 092 093), which is itself owned by the company Les Mousquetaires (RCS No. 789 169 323). The Société Civile des Mousquetaires holds 100% of the company ITM Entreprises (RCS No. 722 064 102).  </w:t>
        <w:br/>
        <w:t xml:space="preserve">12. The company Agromousquetaires (RCS No. 316 742 980), formerly known as Cofipar, is a subsidiary of ITM Entreprises that encompasses the industrial activities of the Les Mousquetaires brand group (Intermarché, Netto, Bricomarché). It manages 64 sites that manufacture products for its main brands in several sectors: dairy products (Paturages), cereals (Chabrior, Filet Bleu), meats, and prepared dishes (Jean Rozé, Monique Ranou).  </w:t>
        <w:br/>
        <w:t xml:space="preserve">13. As of the date of the notification of the objections, February 12, 2018, Agromousquetaires held three subsidiaries in the cooked charcuterie manufacturing sector:  </w:t>
        <w:br/>
        <w:t xml:space="preserve">- S.C.O. (RCS No. 342 048 055), which has a production site for hams (pork and poultry), culinary aids (ham cubes), and sausages sold under the Monique Ranou brand;  </w:t>
        <w:br/>
        <w:t xml:space="preserve">- Salaisons Celtiques (RCS No. 862 500 279, formerly known as "Onno"), which has two industrial sites producing a wide range of charcuterie products (rillettes, roasts, terrines, etc.); and  </w:t>
        <w:br/>
        <w:t xml:space="preserve">- Salaisons du Guéméné (RCS No. 388 199 143), which produces charcuterie specialties (Guémené sausages, andouillettes, blood sausages, etc.) for seven different brands (Monique Ranou, Jean Rozé, Netto, Top Budget, etc.).  </w:t>
        <w:br/>
        <w:t xml:space="preserve">14. As of the date of the report notified on July 17, 2019, the company Salaisons du Guéméné had been dissolved and removed from the registry.  </w:t>
        <w:br/>
        <w:t xml:space="preserve">C. THE PRACTICES FOUND  </w:t>
        <w:br/>
        <w:t xml:space="preserve">15. On June 23, 2017, representatives of the companies Salaisons Celtiques, Salaisons du Guéméné, S.C.O., Société Civile des Mousquetaires, and Les Mousquetaires mandated a law firm to represent the aforementioned companies before the Autorité de la concurrence, in the context of the investigations registered under Nos. 13/0006 F and 12/0080 F, and to carry out all necessary formalities in the context of this investigation.  </w:t>
        <w:br/>
        <w:t xml:space="preserve">16. On February 16, 2018, the investigation services sent the statement of objections of February 12, 2018, to the lawyers of the aforementioned companies.  </w:t>
        <w:br/>
        <w:t xml:space="preserve">17. On February 19, 2018, the law firm acknowledged receipt of these various communications.  </w:t>
        <w:br/>
        <w:t xml:space="preserve">18. On May 22, 2018, the lawyers sent observations in response to the statement of objections to the investigation services for the aforementioned companies.  </w:t>
        <w:br/>
        <w:t xml:space="preserve">19. By deliberation of November 21, 2018, the sole partner of the company Salaisons Celtiques approved the dissolution without liquidation of the company Salaisons du Guéméné under the conditions of the third paragraph of Article 1844-5 of the Civil Code. The declaration of dissolution without liquidation of the company Salaisons du Guéméné dated November 22, 2018, specifies that this dissolution resulted in the universal transfer of the assets (both active and passive) of the company Salaisons du Guéméné to the company Salaisons Celtiques, without liquidation taking place. As a result of this operation, the company Salaisons Celtiques has the power to represent the company Salaisons du Guéméné in court, to take all legal actions, both in demand and in defense, and to represent the company Salaisons du Guéméné before all administrations.  </w:t>
        <w:br/>
        <w:t>20. On November 22, 2018, the investigation services informed the parties to the proceedings, including the companies mentioned above in paragraph 15, of the decision of the general rapporteur to call upon an expert in application of Articles L. 463-8 and R. 463-16 of the Commercial Code.</w:t>
      </w:r>
    </w:p>
    <w:p>
      <w:r>
        <w:rPr>
          <w:b/>
        </w:rPr>
        <w:t>[Pages 7–9]</w:t>
      </w:r>
    </w:p>
    <w:p>
      <w:r>
        <w:t>21. On December 13, 2018, the expert organized a meeting with the parties at the premises of the Authority, attended by the counsel of the Les Mousquetaires group.</w:t>
      </w:r>
    </w:p>
    <w:p>
      <w:r>
        <w:t>22. On January 23, 2019, the dissolution of the company Salaisons du Guéméné SASU following the meeting of all shares or stocks into a single hand, as well as its removal, were published in the BODACC.</w:t>
      </w:r>
    </w:p>
    <w:p>
      <w:r>
        <w:t>23. On February 7, 2019, the lawyers of the Les Mousquetaires group sent an email to the expert and a letter to the general rapporteur "in the interest of the companies of the Groupement des Mousquetaires."</w:t>
      </w:r>
    </w:p>
    <w:p>
      <w:r>
        <w:t>24. On March 7, 2019, the general rapporteur of the Authority responded to the letter of February 7, 2019.</w:t>
      </w:r>
    </w:p>
    <w:p>
      <w:r>
        <w:t>25. On March 19, 2019, the investigation services sent a record of the delivery of documents to the counsel of the Les Mousquetaires group in the context of the expertise.</w:t>
      </w:r>
    </w:p>
    <w:p>
      <w:r>
        <w:t>26. On April 2, 2019, the counsel specified in an email to the expert that they were acting "in the interest of the companies of the Groupement des Mousquetaires (Société Les Mousquetaires, Société Civile des Mousquetaires, Salaisons Celtiques, SCO and Salaisons du Guéméné)" (emphasis added).</w:t>
      </w:r>
    </w:p>
    <w:p>
      <w:r>
        <w:t>D. THE REPORT</w:t>
      </w:r>
    </w:p>
    <w:p>
      <w:r>
        <w:t>27. On July 26, 2019, the investigation services sent a report to the company Les Mousquetaires, the Société Civile des Mousquetaires, and the company Salaisons Celtiques, noting that they had violated the provisions of the second paragraph of section V of Article L. 464-2 of the Commercial Code, for failing to inform them of the dissolution-merger concerning one of the companies identified as authors of the practices sanctioned by decision No. 20-D-09 mentioned above, namely Salaisons du Guéméné: "In this case, as can be seen from the findings set out above, in his letter dated February 16, 2018 accompanying the notification of the objections, the general rapporteur reminded, in these terms, the companies receiving the objections and, in particular, the concerned companies of the Les Mousquetaires group, of the provisions of Article L. 463-2 of the Commercial Code: '(...) the companies receiving the objections must promptly inform the rapporteurs in charge of the files, at any time during the investigation procedure, of any modification of their legal situation likely to change the conditions under which they are represented or under which the objections can be attributed to them; failing to do so, they will be inadmissible to rely on it' (cote 41124).</w:t>
      </w:r>
    </w:p>
    <w:p>
      <w:r>
        <w:t>On several occasions, after receiving the statement of objections and the removal of the company Salaisons du Guéméné, the investigation services communicated with the Les Mousquetaires group. However, at no time did the representatives of the Les Mousquetaires group, and notably of the company Salaisons du Guéméné, inform the investigation services of the dissolution-merger operation of this company by the company Salaisons Celtiques, which took place at the end of 2018-beginning of 2019. Yet, this change in the legal status of the company Salaisons du Guéméné is likely to alter the conditions under which this company is represented or under which the objections can be attributed to them. [...] The investigation services therefore propose to the College of the Authority to apply to the Les Mousquetaires group the provisions of the second paragraph of section V of Article L. 464-2 of the Commercial Code."</w:t>
      </w:r>
    </w:p>
    <w:p>
      <w:r>
        <w:t>II. Discussion</w:t>
      </w:r>
    </w:p>
    <w:p>
      <w:r>
        <w:t>28. The second paragraph of section V of Article L. 464-2 of the Commercial Code states that: "When a company or an association of companies has obstructed the investigation or instruction, notably by providing incomplete or inaccurate information, or by communicating incomplete or distorted documents, the Authority may, at the request of the general rapporteur, and after hearing the company in question and the Government Commissioner, decide to impose a financial penalty [...]".</w:t>
      </w:r>
    </w:p>
    <w:p>
      <w:r>
        <w:t>A. ON THE QUALIFICATION OF OBSTRUCTION</w:t>
      </w:r>
    </w:p>
    <w:p>
      <w:r>
        <w:t>1. REMINDER OF PRINCIPLES</w:t>
      </w:r>
    </w:p>
    <w:p>
      <w:r>
        <w:t>29. The Authority is vested by law with the mission of repressing anti-competitive practices, based, in particular, on Articles L. 420-1 and L. 420-2 of the Commercial Code and Articles 101 and 102 of the TFEU.</w:t>
      </w:r>
    </w:p>
    <w:p>
      <w:r>
        <w:t>30. To conduct their investigation aimed at the detection and establishment of infringements of Articles L. 420-1 to L. 420-6 of the Commercial Code, the rapporteurs of the Authority implement the investigative means provided for in Articles L. 450-1 to L. 450-10 and R. 450-1 and R. 450-2 of the same code.</w:t>
      </w:r>
    </w:p>
    <w:p>
      <w:r>
        <w:t>31. The fourth paragraph of Article L. 450-3 of the said code provides: "[a]gents may require the communication and obtain or take copies, by any means and on any medium, of books, invoices, and other professional documents of any kind, in whatever hands they may be, suitable for facilitating the accomplishment of their mission. They may require the provision of the necessary means to carry out their verifications. They may also collect, on-site or upon summons, any information, document, or justification necessary for the control."</w:t>
      </w:r>
    </w:p>
    <w:p>
      <w:r>
        <w:t>32. The company subject to an investigation measure is thus subject to an obligation of active and loyal collaboration, which implies that it must make available to the investigation services all information and supporting documents responding to the object of their requests. Thus, the representatives of a company, through their duly mandated counsel if applicable, are required to promptly communicate the requested information and documents, complete, accurate, and undistorted, that are requested of them.</w:t>
      </w:r>
    </w:p>
    <w:p>
      <w:r>
        <w:t>33. Under Union law, the provisions of paragraph 4 of Article 18 of Regulation No. 1/2003 of December 16, 2002 similarly state that companies "are required to provide the information requested" by the European Commission. The case law of the Union regularly reminds that the company subject to an investigation measure is subject to an obligation of active collaboration, which implies that it must make available to the European Commission all information elements related to the object of the investigation.</w:t>
      </w:r>
    </w:p>
    <w:p>
      <w:r>
        <w:t>34. It is in light of the obligation to respond actively, diligently, and in good faith to requests for information, which weighs on any company subject to an investigation conducted by the Authority, that the shortcomings attributed to it should be assessed.</w:t>
      </w:r>
    </w:p>
    <w:p>
      <w:r>
        <w:t>35. It follows from the second paragraph of section V of Article L. 464-2 of the Commercial Code and from the decision-making practice of the Authority that obstruction may, "notably," result from the provision by the company of incomplete or inaccurate information, or from the communication of incomplete or distorted documents. This infringement, the forms of which are not exhaustively defined by section V of Article L. 464-2 of the Commercial Code, covers any behavior of the company aimed, deliberately or through negligence, at obstructing or delaying, by any means whatsoever, the progress of the investigation or instruction. Thus, the refusal to provide the requested information or documents within the prescribed time, as well as the omission to correct an incorrect or incomplete response, may constitute an obstruction, within the meaning of the second paragraph of section V of the aforementioned Article L. 464-2, as long as they hinder the investigative powers conferred on the agents of the Authority.</w:t>
      </w:r>
    </w:p>
    <w:p>
      <w:r>
        <w:t>36. The obstruction provided for in Article L. 464-2 of the Commercial Code does not contain any reference to an intentional fraudulent element on the part of the company that "obstructs" the instruction, notably by "providing" incomplete or inaccurate information, or by "communicating" incomplete or distorted documents. The infringement is defined by objective behaviors, without reference to an element of intent.</w:t>
      </w:r>
    </w:p>
    <w:p>
      <w:r>
        <w:rPr>
          <w:b/>
        </w:rPr>
        <w:t>[Pages 10–12]</w:t>
      </w:r>
    </w:p>
    <w:p>
      <w:r>
        <w:t>intentional whatsoever. The obstruction offense can therefore result from simple negligence.</w:t>
      </w:r>
    </w:p>
    <w:p>
      <w:r>
        <w:t>37. The same applies in Union law, which, in accordance with Article 23(1) of Regulation No. 1/2003, punishes obstruction offenses committed deliberately or through negligence. The analysis of European case law also allows us to conclude that it is not only "the intention to mislead the investigators" that is sanctioned under obstruction. The negligence of the company, or its passivity, which has compromised the effectiveness of the investigators' actions, can constitute, on its own, the offense. Thus, the Court of the Union has ruled that: "Due to the obligation of active cooperation imposed on the individuals concerned during the preliminary investigation procedure, a passive reaction can justify, on its own, the adoption of a formal decision under Article 11(5) of Regulation No. 17."</w:t>
      </w:r>
    </w:p>
    <w:p>
      <w:r>
        <w:t>2. APPLICATION IN THIS CASE</w:t>
      </w:r>
    </w:p>
    <w:p>
      <w:r>
        <w:t>38. The investigation services consider, in the report of July 22, 2019, that the Les Mousquetaires group would have violated the obligation to inform incumbent upon the recipients of objections, as provided by the first paragraph of Article L. 463-2 of the Commercial Code, which states that "[t]he companies receiving the objections shall promptly inform the rapporteur in charge of the file, at any time during the investigation procedure, of any modification of their legal situation likely to change the conditions under which they are represented or under which the objections can be attributed to them. They are inadmissible to invoke this if they have not provided this information."</w:t>
      </w:r>
    </w:p>
    <w:p>
      <w:r>
        <w:t>39. In doing so, the Les Mousquetaires group would have committed a prohibited obstruction practice under the second paragraph of V of Article L. 464-2 of the Commercial Code.</w:t>
      </w:r>
    </w:p>
    <w:p>
      <w:r>
        <w:t>40. However, in this case, the Authority believes that the investigation services have not provided any evidence in their report demonstrating that the practices of the Les Mousquetaires group would have, in accordance with the decision-making practice on obstruction recalled above, deliberately or negligently sought to obstruct or delay, by any means, the progress of the investigation or inquiry.</w:t>
      </w:r>
    </w:p>
    <w:p>
      <w:r>
        <w:t>41. Thus, the dissolution-merger operation for which the investigation services reproach the defendants for lack of communication was, in particular, not likely to change the conditions under which the companies of the Les Mousquetaires group were represented or under which the objections could be attributed to them, contrary to the hypothesis referred to in Article L. 463-2 of the Commercial Code.</w:t>
      </w:r>
    </w:p>
    <w:p>
      <w:r>
        <w:t>42. In this regard, it should be noted, as a preliminary point, that in the notification of objections, Salaisons Celtiques was implicated by the investigation services, under objection No. 3, for its own participation in the cartel to which the investigation services also reproached Salaisons du Guéméné for having participated as a perpetrator (see paragraph 281 of decision No. 20-D-09). Article 18(3) of Regulation No. 1/2003 provides, like Article 11(5) of Regulation No. 17, for the possibility for the European Commission to adopt a formal decision, to which a duty of cooperation is attached to the companies (see, in this sense, judgment of the Court of March 14, 2014, Buzzi Unicem SpA v. Commission, T-297/11, paragraph 28).</w:t>
      </w:r>
    </w:p>
    <w:p>
      <w:r>
        <w:t>43. Furthermore, the dissolution-merger operation resulted in a universal transfer of assets from Salaisons du Guéméné to Salaisons Celtiques (see paragraph 19 above). The dissolution-merger operation was therefore not likely, at the time of its realization, and until the notification of the report by the investigation services on July 17, 2019, to have consequences on the representation of the companies implicated in the procedure before the Authority.</w:t>
      </w:r>
    </w:p>
    <w:p>
      <w:r>
        <w:t>44. In this regard, the Court of Cassation ruled in a judgment of October 21, 2008, that, in the context of a merger-absorption operation, the absorbing company "acquires by right, as of the effective date of the merger, the status of party to the proceedings previously initiated by the absorbed company."</w:t>
      </w:r>
    </w:p>
    <w:p>
      <w:r>
        <w:t>45. In their report of July 17, 2019, the investigation services indicated that: "The declaration of dissolution without liquidation of the company Salaisons du Guéméné SAS dated November 22, 2018 specifies that this dissolution resulted in the universal transfer of the assets of the company Salaisons du Guéméné SASU to the company Salaisons Celtiques SASU, without liquidation taking place. As a result of this operation, the company Salaisons Celtiques SASU has, in particular, the power to represent the company Salaisons du Guéméné SASU in court, to take all legal actions both in claim and in defense, and to represent the company Salaisons du Guéméné SASU before all administrations (references 48229-48233)" (emphasis added).</w:t>
      </w:r>
    </w:p>
    <w:p>
      <w:r>
        <w:t>46. This circumstance was all the less likely to have consequences on the representation of the companies implicated in the procedure before the Authority since the companies Salaisons du Guéméné and Salaisons Celtiques had given a mandate for representation to the same law firm in this matter.</w:t>
      </w:r>
    </w:p>
    <w:p>
      <w:r>
        <w:t>47. Furthermore, it follows from consistent case law that in the event of a merger-absorption, the practices for which the absorbed company is responsible are attributed to the legal entity that absorbed it. Similarly, in this case, insofar as the dissolution-merger operation resulted in a universal transfer of assets from Salaisons du Guéméné to Salaisons Celtiques, it also resulted in a transfer of responsibility from the former to the latter.</w:t>
      </w:r>
    </w:p>
    <w:p>
      <w:r>
        <w:t>48. Therefore, the Authority considers that the operation in question was also not likely to change the conditions under which the objections could be attributed to Salaisons du Guéméné. In this regard, the Authority notes that decision No. 20-D-09 made no modification on this specific point compared to the notification of objections, since it retained the participation of the companies Salaisons du Guéméné and Salaisons Celtiques, as perpetrators of the practices (Article 5), and subsequently condemned both to pay a separate fine (Article 6).</w:t>
      </w:r>
    </w:p>
    <w:p>
      <w:r>
        <w:t>49. Although they are governed by distinct provisions, the Authority does not exclude that an obstruction practice may be identified when the obligation to inform under Article L. 463-2 of the Commercial Code is disregarded. However, in this case, such a hypothesis is not verified.</w:t>
      </w:r>
    </w:p>
    <w:p>
      <w:r>
        <w:t>B. CONCLUSION</w:t>
      </w:r>
    </w:p>
    <w:p>
      <w:r>
        <w:t>50. For all the reasons set forth above and in light of the elements present in the file, it is appropriate to consider that the obstruction practice referred to in the report of July 22, 2019, is not established.</w:t>
      </w:r>
    </w:p>
    <w:p>
      <w:r>
        <w:rPr>
          <w:b/>
        </w:rPr>
        <w:t>[Pages 13–13]</w:t>
      </w:r>
    </w:p>
    <w:p>
      <w:r>
        <w:t xml:space="preserve">DECISION  </w:t>
        <w:br/>
        <w:t xml:space="preserve">Single Article: Based on the information available to the Autorité de la concurrence, there is no need to continue the proceedings.  </w:t>
        <w:br/>
        <w:t xml:space="preserve">Deliberated on the oral report of Mr. Philippe Couton, rapporteur, and the intervention of Mr. Stanislas Martin, general rapporteur, by Mr. Henri Piffaut, vice-president, president of the session, Ms. Fabienne Siredey-Garnier and Ms. Irène Luc, vice-presidents.  </w:t>
        <w:br/>
        <w:t xml:space="preserve">The session secretary, The session president,  </w:t>
        <w:br/>
        <w:t xml:space="preserve">Caroline Orsel Henri Piffaut  </w:t>
        <w:b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