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https://www.autoritedelaconcurrence.fr/fr/decision/relative-des-pratiques-dobstruction-mises-en-oeuvre-par-nixon</w:t>
      </w:r>
    </w:p>
    <w:p>
      <w:r>
        <w:t>Pages translated : 13</w:t>
      </w:r>
    </w:p>
    <w:p/>
    <w:p>
      <w:r>
        <w:rPr>
          <w:b/>
        </w:rPr>
        <w:t>[Pages 1–3]</w:t>
      </w:r>
    </w:p>
    <w:p>
      <w:r>
        <w:t xml:space="preserve">FRENCH REPUBLIC  </w:t>
        <w:br/>
        <w:t xml:space="preserve">Decision No. 21-D-16 of July 9, 2021  </w:t>
        <w:br/>
        <w:t xml:space="preserve">Regarding obstruction practices implemented by Nixon  </w:t>
        <w:br/>
        <w:t xml:space="preserve">The Autorité de la concurrence (permanent commission),  </w:t>
        <w:br/>
        <w:t xml:space="preserve">Having regard to the request for assistance from the Hellenic Competition Commission dated May 19, 2020, based on Article 22 of Regulation (EC) No. 1/2003 concerning the implementation of the competition rules provided for in Articles 81 and 82 of the Treaty, now Articles 101 and 102 of the Treaty on the Functioning of the European Union (TFEU);  </w:t>
        <w:br/>
        <w:t xml:space="preserve">Having regard to the file registered under number 20/0104 F concerning an obstruction procedure opened within the framework of this assistance;  </w:t>
        <w:br/>
        <w:t xml:space="preserve">Having regard to the TFEU and, in particular, its Articles 101 and 102;  </w:t>
        <w:br/>
        <w:t xml:space="preserve">Having regard to Regulation (EC) No. 1/2003;  </w:t>
        <w:br/>
        <w:t xml:space="preserve">Having regard to Book IV of the Commercial Code and in particular Articles L. 420-1, L. 420-2, and L. 464-2 of the Commercial Code;  </w:t>
        <w:br/>
        <w:t xml:space="preserve">Having regard to the observations submitted by the company Nixon Europe SARL;  </w:t>
        <w:br/>
        <w:t xml:space="preserve">Having regard to the other documents in the file;  </w:t>
        <w:br/>
        <w:t xml:space="preserve">The rapporteur and the general rapporteur, heard during the session of the Autorité de la concurrence on April 13, 2021, the company Nixon Europe SARL, the company Nixon Inc., and the Government Commissioner having been duly summoned;  </w:t>
        <w:br/>
        <w:t>Adopts the following decision:</w:t>
      </w:r>
    </w:p>
    <w:p>
      <w:r>
        <w:t xml:space="preserve">Summary1:  </w:t>
        <w:br/>
        <w:t xml:space="preserve">Under the terms of this decision, the Autorité de la concurrence (hereinafter "the Authority") sanctioned the company Nixon Europe SARL, as the perpetrator of the offense, and Nixon Inc., in its capacity as the parent company (hereinafter the "Nixon group"), based on the provisions of V of Article L. 464-2 of the Commercial Code, for obstructing the Authority's investigation conducted on behalf of the Hellenic Competition Commission (hereinafter "HCC").  </w:t>
        <w:br/>
        <w:t xml:space="preserve">For the purposes of an investigation into practices in the watch marketing sector, the Directorate-General for Competition of the Greek competition authority made a formal request for assistance to the Authority under Article 22 of Regulation No. 1/2003, asking it to send a questionnaire to the headquarters of Nixon Europe SARL, located in France. On this basis, the Authority sent, over a period of 5 months, the said questionnaire multiple times, without receiving any response from the company.  </w:t>
        <w:br/>
        <w:t xml:space="preserve">By repeatedly failing to respond to the request for information sent by the Authority, the company Nixon Europe SARL obstructed an investigative measure of the investigative services. The Authority also considered that this practice was attributable to the parent company of Nixon Europe SARL, Nixon Inc.  </w:t>
        <w:br/>
        <w:t xml:space="preserve">The provisions relating to obstruction are crucial to ensure the effectiveness of the Authority's investigative and instructional powers. The undertaking subject to an investigative measure is thus under an obligation of active and fair cooperation, which notably implies that it must respond to the requests for information communicated by the Authority.  </w:t>
        <w:br/>
        <w:t xml:space="preserve">In practice, the behavior of the Nixon group undermined the effectiveness of the assistance provided by the Authority to the Greek competition authority and, more broadly, obstructed the Authority's participation in the implementation of European competition policy.  </w:t>
        <w:br/>
        <w:t xml:space="preserve">The Authority defined the amount of the sanction taking into account the seriousness of the behavior attributed to the Nixon group, which obstructed the Authority's implementation of Regulation No. 1/2003. It also took into account all the circumstances of the case, including the financial situation of the group, and set the amount of the sanction at 5,000 euros.  </w:t>
        <w:br/>
        <w:t>1 This summary is strictly indicative. Only the reasons for the decision numbered below are authoritative.</w:t>
      </w:r>
    </w:p>
    <w:p>
      <w:r>
        <w:t xml:space="preserve">SUMMARY  </w:t>
        <w:br/>
        <w:t xml:space="preserve">I. FINDINGS .......................................................................................... 4  </w:t>
        <w:br/>
        <w:t xml:space="preserve">A. THE PROCEDURE .......................................................................................................... 4  </w:t>
        <w:br/>
        <w:t xml:space="preserve">B. THE ENTITIES CONCERNED ................................................................................... 4  </w:t>
        <w:br/>
        <w:t xml:space="preserve">C. THE PRACTICES OBSERVED .................................................................................. 5  </w:t>
        <w:br/>
        <w:t xml:space="preserve">D. THE REPORT ................................................................................................................ 7  </w:t>
        <w:br/>
        <w:t xml:space="preserve">II. DISCUSSION ............................................................................................ 7  </w:t>
        <w:br/>
        <w:t xml:space="preserve">A. ON THE QUALIFICATION OF OBSTRUCTION ................................................ 7  </w:t>
        <w:br/>
        <w:t xml:space="preserve">1. RECALL OF PRINCIPLES ............................................................................................... 7  </w:t>
        <w:br/>
        <w:t xml:space="preserve">2. APPLICATION IN THIS CASE .................................................................................... 9  </w:t>
        <w:br/>
        <w:t xml:space="preserve">B. ON ATTRIBUTION ..................................................................................................... 10  </w:t>
        <w:br/>
        <w:t xml:space="preserve">C. ON SANCTIONS ......................................................................................................... 11  </w:t>
        <w:br/>
        <w:t>DECISION ......................................................................................................................... 13</w:t>
      </w:r>
    </w:p>
    <w:p>
      <w:r>
        <w:rPr>
          <w:b/>
        </w:rPr>
        <w:t>[Pages 4–6]</w:t>
      </w:r>
    </w:p>
    <w:p>
      <w:r>
        <w:t xml:space="preserve">I. Findings  </w:t>
        <w:br/>
        <w:t xml:space="preserve">A. THE PROCEDURE  </w:t>
        <w:br/>
        <w:t xml:space="preserve">1. On July 4, 2017, the Hellenic Competition Commission (hereinafter "HCC") received a complaint from a watch retailer against several wholesalers/importers and manufacturers of wristwatches. This complaint reported practices aimed at restricting retailers' ability to independently set resale prices and preventing cross-border sales. The complainant further alleged that the wholesalers/importers had entered into a horizontal agreement to maintain high retail prices.  </w:t>
        <w:br/>
        <w:t xml:space="preserve">2. On January 28, 2020, the HCC sent a letter to Nixon Europe SARL (hereinafter "Nixon Europe") informing it that the Directorate-General for Competition of the HCC had opened an ex officio investigation into the watch market regarding a possible violation of Article 1 of the Hellenic Competition Law No. 3959/2011 as well as Article 101 of the Treaty on the Functioning of the European Union (hereinafter "TFEU").  </w:t>
        <w:br/>
        <w:t xml:space="preserve">3. In the same letter, the HCC invited Nixon Europe to appoint a lawyer registered at the bar, residing in Athens, Greece, so that any relevant document addressed to the company could be officially delivered to them.  </w:t>
        <w:br/>
        <w:t xml:space="preserve">4. An email with the same content as the aforementioned letter was sent to Nixon Europe on the same day. The HCC received an automatic response to this email.  </w:t>
        <w:br/>
        <w:t xml:space="preserve">5. On February 24, 2020, the HCC sent an email again requesting Nixon Europe to appoint a lawyer. The HCC again received an automatic response to this email.  </w:t>
        <w:br/>
        <w:t xml:space="preserve">6. On the same day, HCC agents called the phone number listed in the "Legal Notices" section on the brand's website. Their contact informed them that Nixon Europe had received the letter and that it would be forwarded to the competent person.  </w:t>
        <w:br/>
        <w:t xml:space="preserve">7. In the absence of a response to their request for information, HCC agents called Nixon Europe again twice during March 2020. The person contacted at Nixon Europe again confirmed that the company would respond to the HCC's letter.  </w:t>
        <w:br/>
        <w:t xml:space="preserve">8. In the absence, once again, of a response, the HCC submitted, on May 19, 2020, a formal request for assistance under Article 22 of Regulation No. 1/2003 of the Council concerning the implementation of the competition rules provided for in Articles 81 and 82 of the Treaty (now Articles 101 and 102 of the TFEU – hereinafter "Regulation No. 1/2003") to the Competition Authority (hereinafter "the Authority") with a view to sending a request for information to the headquarters of Nixon Europe, located in France.  </w:t>
        <w:br/>
        <w:t xml:space="preserve">B. THE ENTITIES CONCERNED  </w:t>
        <w:br/>
        <w:t xml:space="preserve">9. Nixon Europe SARL is a single-member limited liability company.  </w:t>
        <w:br/>
        <w:t xml:space="preserve">10. Wholly owned by Nixon Inc., the company was established in the year 2000 to enable the marketing of Nixon products in the EMEA region (Europe/Middle East/Africa).  </w:t>
        <w:br/>
        <w:t xml:space="preserve">11. Its activity is the "marketing, distribution, wholesale and retail sale of all products, notably watch parts, accessories, and spare parts."  </w:t>
        <w:br/>
        <w:t xml:space="preserve">C. THE PRACTICES OBSERVED  </w:t>
        <w:br/>
        <w:t xml:space="preserve">12. To assist national competition authorities in effectively applying Articles 101 and 102 of the TFEU, Regulation No. 1/2003 granted them the possibility to assist each other in implementing investigative measures. Indeed, according to paragraph 1 of Article 22 of the regulation: "A competition authority of a Member State may carry out any inspection or other investigative measure in its territory under its national law on behalf of and for the account of the competition authority of another Member State in order to establish an infringement of the provisions of Article 81 or 82 of the Treaty [now Articles 101 and 102 of the TFEU]."  </w:t>
        <w:br/>
        <w:t xml:space="preserve">13. In this regard, according to the European Commission's communication on cooperation within the network of competition authorities dated April 27, 2004, "if a national competition authority acts on behalf of and for the account of a counterpart, it does so in accordance with its own national legislation and under its own investigative powers."  </w:t>
        <w:br/>
        <w:t xml:space="preserve">14. Under national law, the first paragraph of paragraph I of Article L. 450-1 of the Commercial Code provides that "[t]he agents of the investigation services of the Competition Authority authorized for this purpose by the general rapporteur may carry out any investigation necessary for the application of the provisions of Titles II and III of this book."  </w:t>
        <w:br/>
        <w:t xml:space="preserve">15. Paragraph 4 of Article L. 450-3 of the Commercial Code provides details on the investigative measures that may be undertaken in this regard: "[t]he agents may require the communication of books, invoices, and other professional documents and obtain or take copies of these documents by any means and on any medium. They may also collect, on-site or upon summons, any information, document, or justification necessary for the control."  </w:t>
        <w:br/>
        <w:t xml:space="preserve">16. In this case, on May 19, 2020, the HCC sent a formal request for assistance to the Authority under Article 22 of Regulation No. 1/2003 with a view to sending a request for information to Nixon Europe. The request for information in question corresponded to a questionnaire containing sixteen questions related to watch sales in Greece and the European Union. More specifically, these questions concerned the corporate purpose of Nixon Europe, the market shares of the Nixon group and its competitors in Greece, the group's turnover by watch brand for the period 2011-2019, the Nixon watch brands, the organization of the group's distribution network in Greece, the prices of Nixon watches, and the financial statements of Nixon Europe.  </w:t>
        <w:br/>
        <w:t xml:space="preserve">17. On June 9, 2020, the investigation services of the Authority sent the request for information on behalf of and for the account of the HCC to the Director General of Nixon Europe, Mr. X..., by registered letter with acknowledgment of receipt.  </w:t>
        <w:br/>
        <w:t xml:space="preserve">18. On this occasion, the Authority reminded Nixon Europe of the context of this request for information. It emphasized that the Directorate-General of the HCC was conducting an ex officio investigation into the watch market to verify the existence of an infringement of the provisions of Article 1 of Law 3959/2011, currently in force (and/or Article 1 of the previous Law 703/1977) and Article 101 of the TFEU. It added that the questionnaire was part of this investigation and was necessary for the HCC to continue processing its case. The deadline for responding to the Authority's request for information was set for July 10, 2020.  </w:t>
        <w:br/>
        <w:t xml:space="preserve">19. The acknowledgment of receipt was stamped by the postal services indicating delivery of the letter to Nixon Europe on June 9, 2020. However, it was not signed by Nixon Europe.  </w:t>
        <w:br/>
        <w:t xml:space="preserve">20. In the absence of a response from Nixon Europe, on September 10, 2020, the investigation services of the Authority sent a reminder letter signed by the general rapporteur to the Director General of the company, Mr. X..., by registered letter with acknowledgment of receipt. In this letter, it was reminded that Nixon Europe was required to respond to the investigative measures carried out by the Authority, even when these were conducted on behalf of another national competition authority of the European Union. Furthermore, in light of the lack of cooperation and explanation from the company, the Authority recalled in this letter the provisions of paragraph V of Article L. 464-2 of the Commercial Code sanctioning obstruction practices by a company. The Authority then granted the company a period of 15 days to respond to the request for information.  </w:t>
        <w:br/>
        <w:t xml:space="preserve">21. The acknowledgment of receipt was signed and dated September 15, 2020.  </w:t>
        <w:br/>
        <w:t xml:space="preserve">22. On November 5, 2020, the investigation services called Nixon Europe. The company's telephone switchboard connected them with Ms. Y..., Europe Director of Nixon Europe. She confirmed receipt of the request for information and confirmed her intention to respond to the questionnaire. She specified that she was currently working remotely and did not have access to the questionnaire sent by postal mail. It was agreed to resend the questionnaire by email.  </w:t>
        <w:br/>
        <w:t xml:space="preserve">23. On November 6, 2020, the investigation services sent the request for information by email to Ms. Y.... In this email, the context of the Authority's request for information was recalled as well as the obligation to respond under the risk of sanction for obstruction. The new deadline for response was set for November 13, 2020.  </w:t>
        <w:br/>
        <w:t xml:space="preserve">24. The investigation services received an automatic confirmation that the email had indeed been forwarded on November 6, 2020.  </w:t>
        <w:br/>
        <w:t>25. By decision of November 6, 2020, the general rapporteur of the Authority appointed Ms. Anne Krenzer, rapporteur of the investigation services of the Authority, to handle this case, in accordance with Articles L. 450-6 and R. 463-4 of the Commercial Code.</w:t>
      </w:r>
    </w:p>
    <w:p>
      <w:r>
        <w:rPr>
          <w:b/>
        </w:rPr>
        <w:t>[Pages 7–9]</w:t>
      </w:r>
    </w:p>
    <w:p>
      <w:r>
        <w:t>D. THE REPORT</w:t>
      </w:r>
    </w:p>
    <w:p>
      <w:r>
        <w:t>26. On November 30, 2020, the investigative services sent a report to Nixon Europe accusing it of having failed to respond to a repeated request for information from the Authority, a practice prohibited under paragraph 2 of V of Article L. 464-2 of the Commercial Code. This report was also notified to Nixon Inc., the parent company of Nixon Europe, for the purpose of attributing the practices of its subsidiary.</w:t>
      </w:r>
    </w:p>
    <w:p>
      <w:r>
        <w:t>II. Discussion</w:t>
      </w:r>
    </w:p>
    <w:p>
      <w:r>
        <w:t>27. The second paragraph of V of Article L. 464-2 of the Commercial Code states: "When a company or an association of companies has obstructed the investigation or instruction, notably by providing incomplete or inaccurate information, or by communicating incomplete or distorted documents, the Authority may, at the request of the general rapporteur, and after hearing the company in question and the Government Commissioner, decide to impose a financial penalty [...]".</w:t>
      </w:r>
    </w:p>
    <w:p>
      <w:r>
        <w:t>A. ON THE QUALIFICATION OF OBSTRUCTION</w:t>
      </w:r>
    </w:p>
    <w:p>
      <w:r>
        <w:t>1. REMINDER OF PRINCIPLES</w:t>
      </w:r>
    </w:p>
    <w:p>
      <w:r>
        <w:t>28. Under national law, the first paragraph of I of Article L. 450-1 of the Commercial Code provides that "the agents of the investigative services of the Autorité de la concurrence authorized to this effect by the general rapporteur may carry out any investigation necessary for the application of the provisions of Titles II and III of this book".</w:t>
      </w:r>
    </w:p>
    <w:p>
      <w:r>
        <w:t>29. The fourth paragraph of Article L. 450-3 of the Commercial Code provides details on the investigative measures that may be undertaken in this regard: "The agents may require the communication of books, invoices, and other professional documents and obtain or take copies of these documents by any means and on any medium. They may also collect, on-site or upon summons, any information, document, or justification necessary for the control".</w:t>
      </w:r>
    </w:p>
    <w:p>
      <w:r>
        <w:t>30. The company subject to an investigative measure is thus under an obligation of active and loyal cooperation, which implies that it must make available to the investigative services all information and supporting documents relevant to the subject of the requests. Thus, representatives of a company, through their duly mandated advisors if applicable, are required to diligently provide the requested information and documents, complete, accurate, and undistorted.</w:t>
      </w:r>
    </w:p>
    <w:p>
      <w:r>
        <w:t>31. In Union law, the provisions of Article 18(4) of Regulation No. 1/2003 stipulate, similarly to the aforementioned legislative provisions, that undertakings "are required to supply the information requested" by the European Commission. The case law of the Union regularly recalls that the undertaking subject to an investigative measure is under an obligation of active cooperation, which implies that it must make available to the European Commission all information related to the subject of the investigation.</w:t>
      </w:r>
    </w:p>
    <w:p>
      <w:r>
        <w:t>32. It is with regard to the obligation to respond actively, diligently, and in good faith to the requests for information that is incumbent on any undertaking subject to an investigation conducted by the Authority, that it is appropriate to assess the shortcomings attributed to it.</w:t>
      </w:r>
    </w:p>
    <w:p>
      <w:r>
        <w:t>33. The second paragraph of V of Article L. 464-2 and the decision-making practice of the Authority provide that obstruction may, "in particular," result from the provision by the company of incomplete or inaccurate information, or from the communication of incomplete or distorted documents. Obstruction, the forms of which are not exhaustively defined by V of Article L. 464-2 of the Commercial Code, broadly covers any behavior of the company that tends, whether deliberately or through negligence, to hinder or delay, by any means, the progress of the investigation or instruction. Thus, the refusal to provide the requested information or documents within the prescribed time, as well as the failure to correct an incorrect or incomplete response, may constitute obstruction, within the meaning of the second paragraph of V of Article L. 464-2 mentioned above, as long as they obstruct the investigative powers conferred on the agents of the Authority.</w:t>
      </w:r>
    </w:p>
    <w:p>
      <w:r>
        <w:t>34. In its decision No. 2021-892 QPC of March 26, 2021, Akka Technologies and others, the Constitutional Council confirmed the interpretation given by the Authority to the notion of obstruction within the meaning of the second paragraph of V of Article L. 464-2: "[...] obstruction to investigative or instructional measures is understood as any hindrance to the progress of these measures, attributable to the company, whether intentional or resulting from negligence" (paragraph 15).</w:t>
      </w:r>
    </w:p>
    <w:p>
      <w:r>
        <w:t>35. The same applies in Union law, which, in accordance with I of Article 23 of the aforementioned Regulation No. 1/2003, penalizes obstruction offenses committed deliberately or through negligence. The analysis of European case law allows us to conclude that it is not only "the intention to mislead the investigators" that is penalized under obstruction in the cited cases. The negligence of the company, or its passivity, which has compromised the effectiveness of the investigators' actions, may constitute, on its own, the offense. Thus, the Union Court ruled that: "Due to the obligation of active cooperation imposed on the individuals concerned during the preliminary investigation procedure, a passive reaction may justify, on its own, the adoption of a formal decision under Article 11, paragraph 5, of Regulation No. 17".</w:t>
      </w:r>
    </w:p>
    <w:p>
      <w:r>
        <w:t>2. APPLICATION IN THIS CASE</w:t>
      </w:r>
    </w:p>
    <w:p>
      <w:r>
        <w:t>36. In this case, as evidenced by the findings set out above, the investigative services of the Authority sent, on June 9, 2020, on behalf of and for the account of the HCC, a request for information to Nixon Europe.</w:t>
      </w:r>
    </w:p>
    <w:p>
      <w:r>
        <w:t>37. In the absence of a response from the company in question, the investigative services first resent the request for information on September 10, 2020, and then, still in the absence of a response, contacted by phone, Ms. Y..., the company's Europe director, on November 5, 2020, and resent, at her request, the questionnaire by email on November 6, 2020. However, no response was provided to the request for information. As of the date of sending the obstruction report, November 30, 2020, more than five months after the first sending of the request for information, the company in question had not provided any response to the questionnaire communicated by the investigative services.</w:t>
      </w:r>
    </w:p>
    <w:p>
      <w:r>
        <w:t>38. By repeatedly failing to respond to the request for information sent by the Authority on behalf of and for the account of the HCC, Nixon Europe has failed in its obligation of loyal and active cooperation with the investigative services.</w:t>
      </w:r>
    </w:p>
    <w:p>
      <w:r>
        <w:t>39. It should be noted in this regard that the company in question confirmed, in its observations on the report, the receipt of the various emails and letters from the investigative services and that the investigative services, during the sendings of September 10, 2020, and November 6, 2020, had indeed informed the company in question of the risk of sanction incurred, based on the second paragraph of V of Article L. 462-4 of the Commercial Code, in the absence of a response from it.</w:t>
      </w:r>
    </w:p>
    <w:p>
      <w:r>
        <w:t>40. Nixon Europe explains, in its observations on the report, that its lack of responsiveness would be linked to certain events that have affected the organization of the company since 2016. It thus highlights the restructuring measures taken, notably in terms of workforce reduction, following the watchmaking crisis in 2016 and the economic and health crisis of 2020.</w:t>
      </w:r>
    </w:p>
    <w:p>
      <w:r>
        <w:t>41. However, this argument cannot be accepted in this case.</w:t>
      </w:r>
    </w:p>
    <w:p>
      <w:r>
        <w:t>42. While the context highlighted by the company in question may have impacted its activity and financial situation, it cannot justify the total absence of response to a request for information from the Authority. Thus, alternatively, Nixon Europe could have at least requested an extension of the response deadline upon receipt of the request for information of June 9, 2020. However, in this case, it was the rapporteur who initiated the first phone contact with Nixon Europe on November 5, 2020, following two initial letters that went unanswered. The first request for an extension of the response deadline by Nixon Europe was only made on February 9, 2021, that is, after the sending of the obstruction report.</w:t>
      </w:r>
    </w:p>
    <w:p>
      <w:r>
        <w:t>43. The company in question ultimately produced, on February 25, 2021, in its observations in response to the report, elements of response to the request for information, without, however, providing a response to all the questions posed. For some of the unanswered questions, the company provided explanations for its inability to satisfy the Authority's request: "You will therefore find in detail the turnover for the years.</w:t>
      </w:r>
    </w:p>
    <w:p>
      <w:r>
        <w:rPr>
          <w:b/>
        </w:rPr>
        <w:t>[Pages 10–12]</w:t>
      </w:r>
    </w:p>
    <w:p>
      <w:r>
        <w:t>fiscal years from 2014 to 2020. Please note that the fiscal year N includes the period from July 1 of year N-1 to June 30 of year N. The attached data therefore covers the period from 01/07/2013 to 30/06/2020. The data from January 1, 2011, to June 30, 2013, requires ongoing research that has not yet been completed. Furthermore, we do not have any market studies that would allow us to present our market shares, nor even the competitor brands by price range" (emphasis added). These late explanations regarding the company's inability to respond to certain questions in the information request could also have been communicated to the Authority in response to its initial letter.</w:t>
      </w:r>
    </w:p>
    <w:p>
      <w:r>
        <w:t>44. It follows from all these elements that the offense of obstruction is constituted.</w:t>
      </w:r>
    </w:p>
    <w:p>
      <w:r>
        <w:t>B. ON ATTRIBUTION</w:t>
      </w:r>
    </w:p>
    <w:p>
      <w:r>
        <w:t>45. Within a group of companies, the behavior of a subsidiary can be attributed to the parent company, particularly when, despite having a distinct legal personality, the subsidiary does not autonomously determine its behavior in the market but essentially follows the instructions given to it by the parent company, particularly in light of the economic, organizational, and legal links that unite these two legal entities.</w:t>
      </w:r>
    </w:p>
    <w:p>
      <w:r>
        <w:t>46. In the specific case where a parent company holds, directly or indirectly through an intermediary company, all or almost all of the capital of its subsidiary that engages in infringing behavior, there is a presumption that this parent company exerts a determining influence on the behavior of its subsidiary, a presumption compatible with the principles of personal responsibility and individualization of penalties. In this case, it is sufficient for the competition authority to provide evidence of this capital holding to attribute the behavior of the subsidiary engaging in the practices to the parent company. The parent company can overturn this presumption by providing evidence that demonstrates that its subsidiary autonomously determines its course of action in the market. If the presumption is not overturned, the competition authority will be able to hold the parent company jointly liable for the payment of the sanction imposed on its subsidiary.</w:t>
      </w:r>
    </w:p>
    <w:p>
      <w:r>
        <w:t>47. These principles are binding on the Authority when it simultaneously applies Articles 101 and 102 of the TFEU and Articles L. 420-1 and L. 420-2 of the Commercial Code: "the notion of undertaking and the rules of attribution fall under the material rules of Union competition law. The interpretation given by the Union courts therefore binds the national competition authority when it applies this law." In a judgment of May 19, 2016, the Paris Court of Appeal stated that this presumption of attribution is applicable by the Authority "even when it applies exclusively national competition law, for reasons of legal consistency."</w:t>
      </w:r>
    </w:p>
    <w:p>
      <w:r>
        <w:t>48. Furthermore, as indicated by the Commission in a decision of May 24, 2011, which became final, the rules governing the attribution of infringements to substantive and procedural rules are identical. Infringements of procedural rules relating to the investigative powers of the Commission that prevent or make it more difficult to detect infringements of substantive rules cannot be governed by different principles regarding their attribution.</w:t>
      </w:r>
    </w:p>
    <w:p>
      <w:r>
        <w:t>49. Finally, in its decision Akka technologies and others, the Constitutional Council stated that "by referring to the notion of undertaking, which designates entities constituted under one of the statuses or legal forms specific to the pursuit of a profit-making purpose, and to that of global turnover, the legislator referred to precise legal categories allowing for a sufficiently certain determination of the responsible persons and the penalty incurred." The Constitutional Council considered that attributing to a parent company an obstruction committed by one of its subsidiaries was in accordance with the Constitution and dismissed the grievance of a violation of the principle of personal penalties and the presumption of innocence.</w:t>
      </w:r>
    </w:p>
    <w:p>
      <w:r>
        <w:t>50. Consequently, the rules of attribution of infringements established by European case law and adapted in national law, particularly the presumption of attribution to the parent company of the actions of its subsidiary, are applicable to the obstruction offenses referred to in V of Article L. 464-2 of the Commercial Code.</w:t>
      </w:r>
    </w:p>
    <w:p>
      <w:r>
        <w:t>51. In this case, it is appropriate to apply the rules governing the attribution of the subsidiary's infringements to its parent and to invoke against Nixon Inc., which holds 100% of the capital of Nixon Europe, the presumption that, constituting with it a single undertaking within the meaning of competition law, it exerted a determining influence on the behavior of its subsidiary.</w:t>
      </w:r>
    </w:p>
    <w:p>
      <w:r>
        <w:t>C. ON SANCTIONS</w:t>
      </w:r>
    </w:p>
    <w:p>
      <w:r>
        <w:t>52. The second and third paragraphs of V of Article L. 464-2 of the Commercial Code provide: "When a company or an association of companies has obstructed the investigation or instruction, [...] the Authority may [...] decide to impose a financial penalty. The maximum amount of this penalty may not exceed 1% of the highest amount of global turnover excluding taxes achieved during one of the financial years closed since the financial year preceding the one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53. The Autorité de la concurrence has not adopted guidelines setting out the calculation method that would apply to it for determining fines in cases of obstruction but must, in any case, take into account the principles of proportionality and individualization of the sanction and consider, therefore, the seriousness of the behavior attributed to the companies involved in light of the specific circumstances of the case, the effects of this behavior on the conduct of the investigation, and more generally, its consequences on the economic public order that the Authority is tasked with preserving.</w:t>
      </w:r>
    </w:p>
    <w:p>
      <w:r>
        <w:t>54. In this regard, it should first be noted that the offense of obstruction, provided for in Article L. 464-2 of the Commercial Code, is, in itself, a particularly serious offense, as it inherently jeopardizes, or even can thwart, the purpose of the investigation of contentious referrals to the Authority, which is to ascertain infringements of competition law, both national and European, to establish proof of them and to sanction them, and to restore the proper competitive functioning of the market, which prejudices both the economic public order and the companies or actors victimized by anti-competitive practices.</w:t>
      </w:r>
    </w:p>
    <w:p>
      <w:r>
        <w:t>55. For determining the amount of the fine, the Authority is entitled to consider the necessity of ensuring that it has a sufficiently deterrent effect, which is all the more important for the sanctioning of obstruction offenses, as companies should not be able to estimate that it would be advantageous for them to obstruct an investigation and thus shield themselves at little cost from any possibility of sanction.</w:t>
      </w:r>
    </w:p>
    <w:p>
      <w:r>
        <w:t>56. When the investigative act to which obstruction is made has been conducted by the Authority, not for the needs of its own investigation, but on behalf of and for the account of another national competition authority, in accordance with paragraph 1 of Article 22 of Regulation No. 1/2003, the seriousness of the offense is not called into question. Indeed, the practice undermines the effectiveness of the assistance of a national competition authority by the Authority and, more broadly, the Authority's participation in the implementation of European competition policy.</w:t>
      </w:r>
    </w:p>
    <w:p>
      <w:r>
        <w:t>57. Regarding seriousness, the principle of proportionality must lead to the imposition of a sanction that is appropriate and necessary to achieve the legitimate objectives of the law.</w:t>
      </w:r>
    </w:p>
    <w:p>
      <w:r>
        <w:t>58. In this case, by repeatedly failing to respond to the request for information sent by the investigative services, the Nixon group obstructed an investigative measure and compromised the effectiveness of their action. In this regard, although the request for information was not linked to any contentious referral to the Authority, the practices of the companies involved have not been without consequences for the Authority. Indeed, the behavior of the Nixon group has undermined the effectiveness of the Authority's assistance to the HCC's investigation and has resulted in obstructing the Authority's contribution to European competition policy.</w:t>
      </w:r>
    </w:p>
    <w:p>
      <w:r>
        <w:t>59. In light of all these elements and the circumstances of the case, including the financial situation of the group, the amount of the sanction imposed jointly on Nixon Europe and Nixon Inc. is set at 5,000 euros.</w:t>
      </w:r>
    </w:p>
    <w:p>
      <w:r>
        <w:rPr>
          <w:b/>
        </w:rPr>
        <w:t>[Pages 13–13]</w:t>
      </w:r>
    </w:p>
    <w:p>
      <w:r>
        <w:t xml:space="preserve">DECISION  </w:t>
        <w:br/>
        <w:t xml:space="preserve">Article 1: It is established that the companies Nixon Europe SARL, as the perpetrator of the offense, and Nixon Inc., in its capacity as the parent company, have violated the provisions of V of Article L. 464-2 of the Commercial Code, by obstructing the Authority's investigation.  </w:t>
        <w:br/>
        <w:t xml:space="preserve">Article 2: By virtue of the offense referred to in Article 1, a financial penalty of 5,000 euros is imposed jointly on the company Nixon Europe SARL, as the perpetrator of the offense, and on the company Nixon Inc., in its capacity as the parent company.  </w:t>
        <w:br/>
        <w:t xml:space="preserve">Deliberated on the oral report of Ms. Anne Krenzer, rapporteur, and the intervention of Mr. Stanislas Martin, general rapporteur, by Mr. Henri Piffaut, vice-president, president of the session, Ms. Fabienne Siredey-Garnier, and Mr. Emmanuel Combe, vice-presidents.  </w:t>
        <w:br/>
        <w:t xml:space="preserve">The session secretary, The session president,  </w:t>
        <w:br/>
        <w:t xml:space="preserve">Caroline Orsel Henri Piffaut  </w:t>
        <w:br/>
        <w:t>© Autorité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