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https://www.autoritedelaconcurrence.fr/fr/decision/relative-des-pratiques-en-matiere-de-fixation-des-cotisations-annuelles-la-charge-des</w:t>
      </w:r>
    </w:p>
    <w:p>
      <w:r>
        <w:t>Pages translated : 2</w:t>
      </w:r>
    </w:p>
    <w:p/>
    <w:p>
      <w:r>
        <w:rPr>
          <w:b/>
        </w:rPr>
        <w:t>[Pages 1–2]</w:t>
      </w:r>
    </w:p>
    <w:p>
      <w:r>
        <w:t xml:space="preserve">FRENCH REPUBLIC  </w:t>
        <w:br/>
        <w:t xml:space="preserve">Decision No. 92-D-64 of December 1, 1992  </w:t>
        <w:br/>
        <w:t xml:space="preserve">concerning practices related to the setting of annual fees  </w:t>
        <w:br/>
        <w:t xml:space="preserve">charged to bank cardholders  </w:t>
        <w:br/>
        <w:t xml:space="preserve">The Competition Council (Section II),  </w:t>
        <w:br/>
        <w:t xml:space="preserve">Having regard to the letter registered on October 20, 1988, under number F 195, by which the Minister of State, Minister of Economy, Finance, and Budget referred to the Competition Council a file concerning anti-competitive practices in the setting of annual fees charged to bank cardholders;  </w:t>
        <w:br/>
        <w:t xml:space="preserve">Having regard to Ordinance No. 86-1243 of December 1, 1986, relating to the freedom of prices and competition, as amended, together with Decree No. 86-1309 of December 29, 1986, as amended, adopted for its application;  </w:t>
        <w:br/>
        <w:t xml:space="preserve">Having regard to the judgment of the Court of Cassation dated April 21, 1992, overturning and annulling the order of the President of the Paris High Court dated September 22, 1988;  </w:t>
        <w:br/>
        <w:t xml:space="preserve">Having regard to the observations of the Government Commissioner and the parties;  </w:t>
        <w:br/>
        <w:t xml:space="preserve">Having regard to the other documents in the file;  </w:t>
        <w:br/>
        <w:t xml:space="preserve">The rapporteur, the general rapporteur, the Government Commissioner, and the parties heard,  </w:t>
        <w:br/>
        <w:t xml:space="preserve">Considering that the file transmitted to the Competition Council contains documents that were seized in the premises of Crédit Lyonnais, Société Générale, Banque Nationale de Paris, G.I.E. Carte Bleue, and G.I.E. Carte Bancaire;  </w:t>
        <w:br/>
        <w:t xml:space="preserve">Considering that, ruling on the appeal filed by Crédit Lyonnais, the Court of Cassation overturned and annulled the order issued on September 22, 1988, by the President of the Paris High Court authorizing the agents of the General Directorate for Competition, Consumer Affairs, and Fraud Prevention, under Article 48 of the Ordinance of December 1, 1986, to carry out visits and seizures of documents in the premises of the aforementioned companies and organizations;  </w:t>
        <w:br/>
        <w:t xml:space="preserve">Considering, therefore, that the irregularly seized documents cannot be retained as evidence and that the documents seized in the premises of Crédit Lyonnais, Société Générale, Banque Nationale de Paris, G.I.E. Carte Bleue, and G.I.E. Carte Bancaire must be separated; that the submission of documents by Société Générale and Banque Nationale de Paris, during visits conducted, according to the procedure of Article 47 of the Ordinance of December 1, 1986, on the same day as the aforementioned seizures, does not present, with respect to the irregularly conducted seizures, an autonomy that would allow this submission to be regarded as regular; that the minutes of hearings and the supplementary documents communicated during the investigation or instruction by the rapporteur, as they refer directly or indirectly to the content of the irregularly seized documents, must also be excluded: that the passages of the administrative report and the notification of grievances that are established from information drawn from these elements of the file cannot be used either;  </w:t>
        <w:br/>
        <w:t xml:space="preserve">Considering that the only elements remaining in the file are not sufficient to establish the existence of anti-competitive practices between the aforementioned companies and organizations: that it is therefore appropriate to apply the provisions of Article 20 of the Ordinance of December 1, 1986,  </w:t>
        <w:br/>
        <w:t xml:space="preserve">Decides:  </w:t>
        <w:br/>
        <w:t xml:space="preserve">Sole Article. - There is no need to continue the proceedings.  </w:t>
        <w:br/>
        <w:t xml:space="preserve">Adopted, on the report of Ms. Claire Jeangirard-Dufal, by Messrs. Pineau, Vice-President, Blaise, Cabut, Cortesse, Gaillard, Sargos, and Urbain, members.  </w:t>
        <w:br/>
        <w:t xml:space="preserve">The General Rapporteur, The Vice-President, presiding over the session,  </w:t>
        <w:br/>
        <w:t xml:space="preserve">F. Jenny J. Pineau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