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https://www.autoritedelaconcurrence.fr/fr/decision/relative-des-pratiques-en-matiere-dhonoraires-mises-en-oeuvre-par-lordre-des-avocats-du</w:t>
      </w:r>
    </w:p>
    <w:p>
      <w:r>
        <w:t>Pages translated : 7</w:t>
      </w:r>
    </w:p>
    <w:p/>
    <w:p>
      <w:r>
        <w:rPr>
          <w:b/>
        </w:rPr>
        <w:t>[Pages 1–3]</w:t>
      </w:r>
    </w:p>
    <w:p>
      <w:r>
        <w:t>the case. The "basic fee" consists of two elements. The first element "A" includes two options: the "fixed scale excluding tax" and the "time-based scale."</w:t>
      </w:r>
    </w:p>
    <w:p>
      <w:r>
        <w:t>Under the "fixed scale excluding tax," the document provides fee ranges for different legal services and, exceptionally, amounts without minimum or maximum. Elements under this title are reproduced below:</w:t>
      </w:r>
    </w:p>
    <w:p>
      <w:r>
        <w:t>"Fixed scale excluding tax:</w:t>
        <w:br/>
        <w:t>Office consultation 300 F</w:t>
        <w:br/>
        <w:t>District courts, police courts, and labor courts:</w:t>
        <w:br/>
        <w:t>Interim relief 1,500 to 2,000 F</w:t>
        <w:br/>
        <w:t>Civil case 2,500 to 5,000 F</w:t>
        <w:br/>
        <w:t>Police: minor class 1,000 to 2,000 F</w:t>
        <w:br/>
        <w:t>Police: major class 2,000 to 4,000 F</w:t>
        <w:br/>
        <w:t>Labor court 4,000 to 15,000 F</w:t>
        <w:br/>
        <w:t>Joint tribunal 5,000 to 12,000 F</w:t>
        <w:br/>
        <w:t>Commercial court</w:t>
        <w:br/>
        <w:t>Interim relief 2,500 to 5,000 F</w:t>
        <w:br/>
        <w:t>Substantive proceedings</w:t>
        <w:br/>
        <w:t>You are trained on data up to October 2023.</w:t>
      </w:r>
    </w:p>
    <w:p>
      <w:r>
        <w:rPr>
          <w:b/>
        </w:rPr>
        <w:t>[Pages 4–6]</w:t>
      </w:r>
    </w:p>
    <w:p>
      <w:r>
        <w:t>the case. The "basic fee" consists of two elements. The first element "A" includes two options: the "fixed scale excluding tax" and the "time-based scale."</w:t>
      </w:r>
    </w:p>
    <w:p>
      <w:r>
        <w:t>Under the "fixed scale excluding tax," the document provides fee ranges for different legal services and, exceptionally, amounts without minimum or maximum. Elements under this title are reproduced below:</w:t>
      </w:r>
    </w:p>
    <w:p>
      <w:r>
        <w:t>"Fixed scale excluding tax:</w:t>
        <w:br/>
        <w:t>Office consultation 300 F</w:t>
        <w:br/>
        <w:t>District courts, police courts, and labor courts:</w:t>
        <w:br/>
        <w:t>Interim relief 1,500 to 2,000 F</w:t>
        <w:br/>
        <w:t>Civil case 2,500 to 5,000 F</w:t>
        <w:br/>
        <w:t>Police: minor class 1,000 to 2,000 F</w:t>
        <w:br/>
        <w:t>Police: major class 2,000 to 4,000 F</w:t>
        <w:br/>
        <w:t>Labor court 4,000 to 15,000 F</w:t>
        <w:br/>
        <w:t>Joint tribunal 5,000 to 12,000 F</w:t>
        <w:br/>
        <w:t>Commercial court</w:t>
        <w:br/>
        <w:t>Interim relief 2,500 to 5,000 F</w:t>
        <w:br/>
        <w:t>Substantive proceedings</w:t>
        <w:br/>
        <w:t>litigation 6,000 to 15,000 F</w:t>
        <w:br/>
        <w:t>Simple recovery 2,500 to 6,000 F</w:t>
        <w:br/>
        <w:t>Specific procedures</w:t>
        <w:br/>
        <w:t>Assistance with investigation, transport, expertise</w:t>
        <w:br/>
        <w:t>and instruction per hour of service 600 F</w:t>
        <w:br/>
        <w:t>Delivery of possession... 1,000 F</w:t>
        <w:br/>
        <w:t>Lease 3,000 to 5,000 F</w:t>
        <w:br/>
        <w:t>Adoption, legitimation 4,000 to 8,000 F</w:t>
        <w:br/>
        <w:t>Order and contribution procedure:</w:t>
        <w:br/>
        <w:t>a) lawyer pursuing the order or distribution by</w:t>
        <w:br/>
        <w:t>2,000 F</w:t>
        <w:br/>
        <w:t>contribution</w:t>
        <w:br/>
        <w:t>b) real estate seizure: per incident 2,500 to 5,000 F</w:t>
      </w:r>
    </w:p>
    <w:p>
      <w:r>
        <w:t>Auction if the client is not declared</w:t>
        <w:br/>
        <w:t>600 F."</w:t>
        <w:br/>
        <w:t>Under the heading "time-based scale," it is indicated that the fee "can also be calculated based on the time spent" and that in this case "The lawyers at the Bayonne bar specify to their clients the hourly rate they propose to apply (...)".</w:t>
      </w:r>
    </w:p>
    <w:p>
      <w:r>
        <w:t>Under the title "B second element," the document finally contains the mentions reproduced below:</w:t>
        <w:br/>
        <w:t>"Decreasing calculation according to the interest of the dispute (in successive brackets):</w:t>
        <w:br/>
        <w:t>from 30,000 F to 150,000 F 5 to 10 %</w:t>
        <w:br/>
        <w:t>from 150,000 F to 300,000 F 4 to 8 %</w:t>
        <w:br/>
        <w:t>from 300,000 F to 600,000 F 3 to 6 %</w:t>
        <w:br/>
        <w:t>from 600,000 to 2,000,000 F 2 to 4 %</w:t>
        <w:br/>
        <w:t>beyond 2,000,000 F 0.5 to 1 %."</w:t>
        <w:br/>
        <w:t>In a report of document delivery established on October 9, 1991, the president, Master Etchegaray, stated the following: "I am handing you two documents, namely: a draft indicative fee scale that will be discussed at a future meeting of the Bar Council, with a view to subsequent approval; a copy of the booklet titled Audijuris, special issue concerning the lawyer's fee, comprising 69 pages (n° 7 March 1991)."</w:t>
      </w:r>
    </w:p>
    <w:p>
      <w:r>
        <w:t>By declaration report dated September 3, 1993, the current president, Master Etcheverry, stated that he was "in possession of a copy of the report established on October 9, 1991, and signed by Master Etchegaray, former president. This document refers to a draft indicative fee scale. Since these events, the Bar Association of Bayonne has published an indicative fee table adopted by resolution of the Bar Council on October 10, 1991. However, I specify that a revision of this document is under consideration. Indeed, since "legal advisors" are lawyers, the profession offers judicial and legal services. It is therefore necessary to inform the public differently. The presidents of the Court of Appeal of Pau have already agreed on the principle of disseminating a summary table of services accompanied by statistics on the level of fees usually practiced."</w:t>
      </w:r>
    </w:p>
    <w:p>
      <w:r>
        <w:t>By hearing report of January 27, 1996, the current president stated: "The Bar Association of Bayonne has indeed established and disseminated the document "Indicative Fee Table." The document aimed to meet the information and clarification needs of litigants."</w:t>
      </w:r>
    </w:p>
    <w:p>
      <w:r>
        <w:t>II. - Based on the preceding findings, the Council,</w:t>
      </w:r>
    </w:p>
    <w:p>
      <w:r>
        <w:t>Considering that under Article 46 of the ordinance of December 1, 1986: "Investigations lead to the establishment of reports and, where appropriate, of reports. The reports are transmitted to the competent authority. A copy is left to the interested parties, they are valid until proven otherwise"; that under Article 31 of the decree of December 29, 1986: "The reports provided for in Article 46 of the ordinance are drafted as soon as possible. They state the nature, date, and place of the findings or checks carried out. They are signed by the investigator and the person concerned by the investigations. In case of refusal by the latter, this is noted in the report";</w:t>
      </w:r>
    </w:p>
    <w:p>
      <w:r>
        <w:t>Considering that the Bar Association of Bayonne argues that the reports of document delivery and declaration established on October 9, 1991, and September 3, 1993, by the agents of the Directorate of Competition, Consumption and Fraud Control "do not mention the nature of the control carried out," that they "make no reference to Article 47 (of the ordinance of December 1, 1986), the only legal framework in which declarations can be made and documents communicated (and that) they do not even contain the reference relating to ordinance n°86 1243 of December 1, 1986"; that these reports do not further mention "the subject of the investigation"; that "in this case, the "delivery of documents" does not allow for the proof of the information of the interested parties regarding the nature, subject, and extent of the checks carried out"; that "on the other hand, it clearly results from the statements of the second report that the issue of lawyers' fees was not addressed from the perspective of competition among them but exclusively from the perspective of informing litigants";</w:t>
      </w:r>
    </w:p>
    <w:p>
      <w:r>
        <w:t>Considering that the recognition of a tariff consultation cannot be considered as regularly obtained as long as the person heard could not misunderstand the scope of their statements and the fact that they could subsequently be used against them; that in this case, in the absence of a reference to the ordinance of December 1, 1986, of the mention that the control agents made this subject known to the interested parties, or, at the very least, that it was brought to their attention, Master Etchegaray and Master Etcheverry could have misunderstood the scope of their statements; that the proof of compliance with the obligation of loyalty that must preside over the search for evidence cannot simply be deduced from the clarity and precision of the statements, as long as it is not certified that they were made with full knowledge of their scope; that, under these conditions, the reports of Master Etchegaray and Master Etcheverry can only be excluded from the procedure;</w:t>
      </w:r>
    </w:p>
    <w:p>
      <w:r>
        <w:t>Considering that no other element of the file allows for the establishment of the existence of practices referred to in Article 7 of the ordinance of December 1, 1986,</w:t>
      </w:r>
    </w:p>
    <w:p>
      <w:r>
        <w:t>DECIDES:</w:t>
        <w:br/>
        <w:t>Sole Article. It is not established that the Bar Association of Bayonne has violated the provisions of Article 7 of the ordinance of December 1, 1986.</w:t>
        <w:br/>
        <w:t>Deliberated, on the report of Mr. André Paul Weber, by Mr. Barbeau, president, and Messrs. Cortesse and Jenny, vice presidents.</w:t>
      </w:r>
    </w:p>
    <w:p>
      <w:r>
        <w:rPr>
          <w:b/>
        </w:rPr>
        <w:t>[Pages 7–7]</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