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https://www.autoritedelaconcurrence.fr/fr/decision/relative-des-pratiques-en-matiere-dhonoraires-miss-en-oeuvre-par-le-barreau-de-bonneville</w:t>
      </w:r>
    </w:p>
    <w:p>
      <w:r>
        <w:t>Pages translated : 6</w:t>
      </w:r>
    </w:p>
    <w:p/>
    <w:p>
      <w:r>
        <w:rPr>
          <w:b/>
        </w:rPr>
        <w:t>[Pages 1–3]</w:t>
      </w:r>
    </w:p>
    <w:p>
      <w:r>
        <w:t>COMPETITION COUNCIL</w:t>
        <w:br/>
        <w:t>Decision No. 00-D-23 of May 31, 2000</w:t>
        <w:br/>
        <w:t>regarding fee practices implemented</w:t>
        <w:br/>
        <w:t>by the Bonneville Bar Association</w:t>
        <w:br/>
        <w:t>The Competition Council (permanent commission),</w:t>
        <w:br/>
        <w:t>Considering the letter registered on October 13, 1993 under number F 629-4, by which the Confederation of Living Environment Unions referred to the Competition Council regarding fee practices implemented by the Bar Associations of Aurillac, Clermont-Ferrand, Digne, Gap, Bonneville, and Marseille;</w:t>
        <w:br/>
        <w:t>Considering Ordinance No. 86-1243 of December 1, 1986, as amended, relating to price and competition freedom and Decree No. 86-1309 of December 29, 1986, as amended, taken for its application;</w:t>
        <w:br/>
        <w:t>Considering the letter of January 30, 2000 from the president of the Competition Council notifying the parties and the Government Commissioner of her decision to bring the case before the permanent commission in application of Article 22 of the aforementioned ordinance;</w:t>
        <w:br/>
        <w:t>Considering Law No. 71-1130 of December 31, 1971, reforming certain judicial and legal professions, as amended, and Decree No. 91-1197 of November 27, 1991 organizing the profession of lawyer;</w:t>
        <w:br/>
        <w:t>Considering Decision No. 96-D-70 of November 12, 1996, of the Competition Council to defer ruling;</w:t>
        <w:br/>
        <w:t>Considering the observations presented by the Bar Association of Bonneville, by the Confederation of Living Environment Unions, and by the Government Commissioner;</w:t>
        <w:br/>
        <w:t>Considering the other documents in the file;</w:t>
        <w:br/>
        <w:t>The rapporteur, the general rapporteur, the Government Commissioner, the representatives of the Confederation of Living Environment Unions, and the Bar Council of Bonneville heard during the session of April 19, 2000;</w:t>
        <w:br/>
        <w:t>After deliberating in the absence of the rapporteur and the general rapporteur;</w:t>
        <w:br/>
        <w:t>Adopts the decision based on the findings (I) and the reasons (II) set forth below:</w:t>
        <w:br/>
        <w:t>By letter registered on October 13, 1993, the Confederation of Living Environment Unions referred to the Competition Council regarding fee practices implemented by various bar associations. This decision concerns the practices identified within the jurisdiction of the Bonneville Bar Association.</w:t>
        <w:br/>
        <w:t>I. - Findings</w:t>
        <w:br/>
        <w:t>The Confederation of Living Environment Unions (CSCV) challenges the Bonneville Bar Association in Haute-Savoie, which allegedly implemented tariff agreements regarding the services provided by its members.</w:t>
        <w:br/>
        <w:t>The CSCV supports its allegations by relying on the testimony of one of its members who, after inquiring about the price of a summary proceeding from several lawyers within the Bonneville Bar Association's jurisdiction, noted that the indicated prices were identical.</w:t>
        <w:br/>
        <w:t>It also argues that the remuneration requested by the lawyer of this same member, in relation to a private dispute brought before the courts, does not correspond to an hourly rate multiplied by a number of hours, but to a flat fee which would be the result of a tariff agreement implemented by the Bonneville Bar Association.</w:t>
      </w:r>
    </w:p>
    <w:p>
      <w:r>
        <w:t>The CSCV further argues that the tariff agreement would also result from the information provided by a study by Me Jean-Louis Fallion from May 1994, which serves as a basis for the advice given to the local vocational training center. This document presents, on the one hand, average hourly ranges dedicated to carrying out several interventions and, on the other hand, indications on the hourly costs of lawyers set in 1988 and 1990 by the president of the Bonneville High Court in the context of fee-related disputes. Thus, according to the CSCV, the combination of these two elements allows for determining the amount of remuneration that a lawyer should claim for a given case. Me Jean-Louis Fallion, president of the Bar Council until the end of 1993, and Me Bernard Chambel, in office from 1994 to 1997, heard on June 1, 1994 during the initial investigation, stated: "No deliberation of the Bar Council has addressed the issue of lawyers' fee scales since 1979. As a result, there is currently no indicative scale at the Bonneville Bar; only the internal regulations adopted in 1992 mention the remuneration of the lawyer (cf: attached excerpt from the internal regulations). The Bar Council emphasizes the notion of the economic cost of the lawyer's intervention. This approach has been the subject of a study by Me Fallion (cf: the remuneration of the lawyer). It has a public character insofar as it was presented at the Conference of Bar Presidents; it serves as a basis for the courses given at the local vocational training center; it has been disseminated among the lawyers of Bonneville."</w:t>
        <w:br/>
        <w:t>1. The internal regulations</w:t>
        <w:br/>
        <w:t>The provisions relating to "the remuneration of the lawyer" in the internal regulations adopted in 1992 by the Bonneville Bar Association are found in Article 24:</w:t>
        <w:br/>
        <w:t>"When his assistance is mandatory, the lawyer is remunerated both by a filing fee and by his fee freely agreed upon with the client. When his assistance is not mandatory, the lawyer is remunerated by a fee set in agreement with the client. The financial independence of the lawyer, as a judicial auxiliary, guarantees his freedom and, consequently, the fulfillment of his mission. His remuneration cannot under any circumstances be lower than the economic cost of his intervention. For the determination of his fees, the lawyer also takes into account the following criteria:</w:t>
        <w:br/>
        <w:t>the work provided;</w:t>
        <w:br/>
        <w:t>the quality of the service rendered;</w:t>
        <w:br/>
        <w:t>the monetary importance of the dispute;</w:t>
        <w:br/>
        <w:t>the financial situation of the client;</w:t>
        <w:br/>
        <w:t>the result obtained.</w:t>
        <w:br/>
        <w:t>The fees may be proportionate to this result. Finally, for the determination of the amount of his fees, the lawyer is inspired by the indications provided by the customs of the Bonneville Bar. When a lawyer can legitimately fear that his fees will not be paid, he requests from the President of the Bar the authorization to retain the amount from the sums held by him on behalf of his client."</w:t>
        <w:br/>
        <w:t>The course material of Me Jean-Louis Fallion addresses, in particular, the economic approach to the remuneration of the lawyer by establishing evaluation criteria for the fee based on the cost of the case borne by the lawyer. Thus, he proposes a method to determine the cost of the billable hour from a report containing, in the numerator, the overhead costs of the office and, in the denominator, 1,300 hours multiplied by the number of lawyers in the office, 1,300 hours representing the annual working time that a lawyer can actually bill, once the time spent on other activities such as office management or continuing professional education is deducted. The billable hour is divided by sixty to obtain the cost of the billable minute. By multiplying the cost of the billable minute by the number of minutes spent, the lawyer obtains the amount of overhead allocated to a case. The total case costs correspond to the overall amount of operating and management expenses of the office.</w:t>
        <w:br/>
        <w:t>2. The hourly ranges dedicated to handling certain cases</w:t>
        <w:br/>
        <w:t>Chapter IV of Me Fallion's study, relating to the practice of the fee agreement, specifies that "For better client information, and in accordance with the provisions of Article 33 of the ordinance of December 1, 1986 relating to price and competition freedom, it may be specified in the fee agreement the average time spent per type of case but only as an indication due to the inherent uncertainties of any procedure."</w:t>
        <w:br/>
        <w:t>Me Fallion thus provides hourly ranges including a minimum and maximum time necessary for handling twelve types of cases. These data are, in particular, derived from a synthesis of various studies commissioned by the Lyon Bar Association, by the Conference of Bar Presidents of France, and by the Conference of Bars of Normandy:</w:t>
        <w:br/>
        <w:t>- District Court, with instruction: 12 to 17 hours;</w:t>
        <w:br/>
        <w:t>- Police Court: 2 to 8 hours;</w:t>
        <w:br/>
        <w:t>- Criminal Court, without instruction: 3 to 10 hours;</w:t>
        <w:br/>
        <w:t>- Criminal Court, with instruction: 10 to 15 hours;</w:t>
        <w:br/>
        <w:t>- Labor Court: 6 to 15 hours;</w:t>
        <w:br/>
        <w:t>- Summary proceedings: 3 to 8 hours;</w:t>
        <w:br/>
        <w:t>- High Court: 15 to 22 hours (and more in construction trials in particular);</w:t>
        <w:br/>
        <w:t>- Divorce by mutual consent: 7 to 15 hours;</w:t>
        <w:br/>
        <w:t>- Divorce for fault: 12 to 23 hours;</w:t>
        <w:br/>
        <w:t>- Court of Appeal: 10 to 15 hours;</w:t>
        <w:br/>
        <w:t>- Assize Court: 37 to 50 hours.</w:t>
        <w:br/>
        <w:t>3. The supplementary investigation report</w:t>
        <w:br/>
        <w:t>The supplementary investigation report transmitted on April 22, 1998, to the Competition Council states the interventions of the investigators with three lawyers chosen from the list provided by the CSCV. These are Me Marie-Madeleine Mossuz, Me François-Philippe Garnier, and Me Xavier Chantelot. This report confirms the conclusion of the initial report: "The Bonneville Bar does not disseminate an indicative fee scale. This arises, on the one hand, from the intervention with the President of the Bar, and on the other hand, from the study of the establishment of fees by the lawyers."</w:t>
        <w:br/>
        <w:t>The interventions of the investigators with the aforementioned lawyers confirm that they were not aware of any rates or scales established by the Bar Council of Bonneville.</w:t>
        <w:br/>
        <w:t>Therefore, the supplementary investigation report concludes that:</w:t>
        <w:br/>
        <w:t>"The consultation of the internal regulations, unchanged since 1992, as well as the deliberations of the Bar Council since 1994 have not revealed any intervention by the Bar Council regarding the setting of fees. Although in office only since the beginning of the year, the President of the Bar categorically excluded any intervention by the Bar in this area, believing that the remuneration of the lawyer should result from the individual consideration of the costs of each office. This principle is reiterated in Article 24 of the internal regulations of the Bar..."</w:t>
      </w:r>
    </w:p>
    <w:p>
      <w:r>
        <w:rPr>
          <w:b/>
        </w:rPr>
        <w:t>[Pages 4–6]</w:t>
      </w:r>
    </w:p>
    <w:p>
      <w:r>
        <w:t>Based on these findings, two complaints were notified to the Bonneville Bar Association:</w:t>
      </w:r>
    </w:p>
    <w:p>
      <w:r>
        <w:t>"For having introduced, in the internal regulations adopted in 1992 by the Bar Council, a provision regarding the remuneration of the lawyer which 'cannot under any circumstances be lower than the economic cost of their intervention,' aimed at and potentially resulting in deterring lawyers from setting their fees based on their own management and operational costs, and for having provided and disseminated ranges of time dedicated to handling various cases. Such practices, which are aimed at and potentially result in restricting competition in the legal services market of the Bonneville Bar Association, are contrary to the provisions of Article 7 of Ordinance No. 86-1243 of December 1, 1986."</w:t>
      </w:r>
    </w:p>
    <w:p>
      <w:r>
        <w:t>II. - Based on the preceding findings, the Council,</w:t>
      </w:r>
    </w:p>
    <w:p>
      <w:r>
        <w:t>On the procedure</w:t>
        <w:br/>
        <w:t>Considering, first, that the Bar Association of Bonneville argues that the author of the referral did not have the standing to refer the matter to the Council;</w:t>
      </w:r>
    </w:p>
    <w:p>
      <w:r>
        <w:t>But considering that pursuant to Article 11 of the Ordinance of December 1, 1986, the Competition Council may be seized, among others, by approved consumer organizations, for any matter for which they are responsible; that, by letter registered on October 13, 1993, the president of the CSCV has "in accordance with Article 11 of the Ordinance of December 1, 1986, in the capacity of an approved consumer organization... referred (the Competition Council) for the anti-competitive practices established by the lawyers of the bars of Aurillac, Clermont-Ferrand, Digne-les-Bains, Gap, Bonneville, and Marseille"; that it is not disputed that the CSCV, a member of the European Bureau of Consumer Unions, is an approved consumer union; that the president of the Confederation of Living Environment Unions was therefore authorized to refer the matter to the Competition Council; that the argument based on the lack of standing of the Confederation of Living Environment Unions must be dismissed;</w:t>
      </w:r>
    </w:p>
    <w:p>
      <w:r>
        <w:t>Considering, secondly, that the Bar Association of Bonneville contends that the bodies referred to in the second paragraph of Article 5 of the Ordinance of December 1, 1986 can only refer the Council, under Article 11 of the aforementioned text, "for any matter concerning the interests for which they are responsible"; that the referral to the Council "only aims to satisfy the personal grievances of Mr. Pierre Giordano"; that this is evident, in particular, "from the complaint addressed by Mr. Pierre Giordano to the Competition Council on September 18, 1993," "from the very terms of the complaint of the CSCV dated October 8, 1993, which specifies that Mr. Pierre Giordano is mandated by the Association to gather a certain number of evidence," "from the choice of the implicated bars which, in the 1992 complaint, correspond to the jurisdictions before which Mr. Pierre Giordano pleaded the case against Ms. Le Douce (Bonneville, Quimper, Rennes, and Tarascon);</w:t>
      </w:r>
    </w:p>
    <w:p>
      <w:r>
        <w:t>But considering that, since the Competition Council is seized by a person having standing for this purpose under the combined provisions of Articles 5 and 11 of the aforementioned Ordinance, it matters little that the initiative of the referring person originates from the behavior of one or another of its members;</w:t>
      </w:r>
    </w:p>
    <w:p>
      <w:r>
        <w:t>Considering, thirdly, that the Bar Association of Bonneville alleges that the principle of adversarial proceedings was not respected; that thus the Bar of Bonneville "only became aware of the complaints filed in 1993 and the content of the file through the letter of notification of grievances dated January 31, 2000"; that, during the intervention of the interregional brigade from Lyon in the premises of the Order on June 1, 1994, it was only indicated to the president that the investigators were acting "within the framework of an investigation concerning the situation of competition in the field of lawyer fees without further details"; that the Bar of Bonneville was not aware of the administrative investigation report of February 15, 1995, nor of the proposal for non-suit, nor of the observations of the Government Commissioner, while the CSCV, to whom these documents were addressed, was able to provide a response memorandum; that "it was under these conditions and at the request of the CSCV that, pursuant to decision No. 96-D-70 of November 12, 1996, a supplementary investigation was ordered"; that during this investigation "three lawyers were heard in ignorance of the complaints filed and the procedural acts secretly conducted"; that "in its complaint of October 8, 1993, the Confederation of Living Environment Unions expressly requested, under Article 25 of the Ordinance of December 1, 1986, to be considered a party in this matter"; that it follows "that under the general principles of law, the parties must mutually communicate their arguments and documents"; that, under these conditions, according to the Bar of Bonneville, "it results from the entire file that the CSCV, a party to the case, was the only one able to assert its arguments" and that, therefore, "the initiated procedure is affected by absolute nullity";</w:t>
      </w:r>
    </w:p>
    <w:p>
      <w:r>
        <w:t>But considering that, insofar as the argument thus developed relates to the conditions under which the Bar of Bonneville was able to present its observations on the procedure, it should be recalled that, according to established case law, the adversarial phase of the procedure begins with the notification of grievances; that the Council being seized in rem, it is only possible for it to determine the persons who must be called to present observations once the grievances have been notified to one or more identified persons; that to the extent that this same argument would tend to cast doubt on the fairness of the investigation procedure, it should be noted that the minutes of statements of June 1, 1994, by Me Bernard Chambel, president of the Order in 1994, and Me Jean-Louis Fallion, president of the Order until December 31, 1993, mention, in addition to the identity of the investigators and the legal framework in which they intervened, the precise and actual object of the investigation which concerned "the situation of competition in the field of lawyer fees"; that, moreover, the content of this minutes only concerned the question of fee scales and the remuneration of the lawyer; that the statements of the three lawyers heard by the investigator during the supplementary investigation concerned lawyer fees and, more particularly, fee scales; that, therefore, the Bar of Bonneville is not justified in claiming that it was not informed of the investigation procedure thus conducted, nor that the lawyers heard during the second investigation could be mistaken about the object of it;</w:t>
      </w:r>
    </w:p>
    <w:p>
      <w:r>
        <w:t>On the merits</w:t>
        <w:br/>
        <w:t>Considering that by specifying that the fees requested by lawyers for each type of service cannot be lower than the economic cost of the latter, the internal regulations of the Bar of Bonneville impose a limit on the commercial freedom of lawyers; that indeed, except in the particular cases where the legislator has prohibited it, it is always permissible for an economic operator and often necessary for a new entrant in a market to charge, for a given good or service, a price lower than its cost price; that by excluding such a possibility in a document containing provisions based on the ethics of the profession, the Bar of Bonneville has engaged in a practice whose object is anti-competitive and, as such, prohibited by Article 7 of the Ordinance of December 1, 1986; that, contrary to what the Bar of Bonneville argues, such a practice cannot invoke the legislative or case law provisions relating to the setting of fees; that the necessity for the ordinal authorities to ensure that the financial independence of lawyers, which guarantees their freedom, is preserved and to protect lawyers from the risks, particularly disciplinary, that would result for them from a state of cessation of payments cannot justify the practice in question since the act of billing a one-time service below its "economic cost" is not sufficient in itself to compromise the independence or financial situation of a lawyer;</w:t>
      </w:r>
    </w:p>
    <w:p>
      <w:r>
        <w:t>Considering that the potential effect of the practice in question could only be aggravated if the "economic cost" of each service were calculated identically by all lawyers of the bar based on a common calculation method; that such is the scope of the grievance notified which established a link between Me Fallion's course material and the internal regulations;</w:t>
      </w:r>
    </w:p>
    <w:p>
      <w:r>
        <w:t>But considering that Me Fallion's study was established and disseminated under his sole responsibility and for a pedagogical use that is moreover broader than the training of only the lawyers of the Bar of Bonneville; that it is therefore not established that its drafting and dissemination constitute an agreement;</w:t>
      </w:r>
    </w:p>
    <w:p>
      <w:r>
        <w:t>On the sanctions</w:t>
        <w:br/>
        <w:t>Considering that under Article 13 of the aforementioned Ordinance of December 1, 1986: "The Competition Council may order the interested parties to cease anti-competitive practices within a specified period or impose particular conditions. It may impose a financial penalty applicable either immediately or in the event of non-compliance with the injunctions. Financial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that pursuant to Article 22, paragraph 2, of the same Ordinance "The permanent commission may impose the measures provided for in Article 13, the penalties imposed not exceeding 500,000 F for each of the authors of the practices";</w:t>
      </w:r>
    </w:p>
    <w:p>
      <w:r>
        <w:t>Considering that it is appropriate, by application of the above-mentioned Article 13, and in order to prevent the continuation of such practices, to order the Bar Association of Bonneville to amend its internal regulations;</w:t>
      </w:r>
    </w:p>
    <w:p>
      <w:r>
        <w:t>Considering that it is necessary, in order to assess the damage to the economy, to note that, although the document in question has been disseminated since 1992 and provided to all members of the bar, its potential effect was not to set a uniform price for a given service but only to prohibit lawyers from charging a price lower than its economic cost, which remained calculated independently for each of them; that, moreover, it is not established that the lawyers registered with the Bar of Bonneville have complied with the directive of the Bar Council since the lawyers heard during the two successive investigations stated that they freely determine their fees; that finally, the current president of the Order, Me Briffod, declared in session that he was ready to amend the disputed clause;</w:t>
      </w:r>
    </w:p>
    <w:p>
      <w:r>
        <w:t>Considering that based on the elements as assessed above, it is appropriate to order the Bar Council of the Bar of Bonneville, on the one hand, to remove from Article 24 of the internal regulations the provision that the remuneration of the lawyer cannot be under any circumstances lower than the economic cost of their intervention and, on the other hand, to send, within two months from the notification, a copy of this decision to each of the lawyers constituting the Bar of Bonneville; that there is no need, however, to impose a financial penalty on the Bar Council of the Bar of Bonneville,</w:t>
      </w:r>
    </w:p>
    <w:p>
      <w:r>
        <w:t>DECIDES:</w:t>
        <w:br/>
        <w:t>Article 1.- It is established that the Bar Council of the Bar of Bonneville has violated the provisions of Article 7 of the Ordinance of December 1, 1986.</w:t>
        <w:br/>
        <w:t>Article 2.- It is ordered that the Bar Council of the Bar of Bonneville, on the one hand, remove from Article 24 of the internal regulations the provision that the remuneration of the lawyer cannot be under any circumstances lower than the economic cost of their intervention and, on the other hand, send, within two months from its notification, a copy of this decision to each of the lawyers constituting the Bar of Bonneville.</w:t>
        <w:br/>
        <w:t>Deliberated, on the oral report of Ms. Bergaentzlé, by Ms. Hagelsteen, president, Ms. Pasturel, vice-president, and Mr. Cortesse, vice-president.</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