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https://www.autoritedelaconcurrence.fr/fr/decision/relative-des-pratiques-imputees-electricite-de-france-edf</w:t>
      </w:r>
    </w:p>
    <w:p>
      <w:r>
        <w:t>Pages translated : 4</w:t>
      </w:r>
    </w:p>
    <w:p/>
    <w:p>
      <w:r>
        <w:rPr>
          <w:b/>
        </w:rPr>
        <w:t>[Pages 1–3]</w:t>
      </w:r>
    </w:p>
    <w:p>
      <w:r>
        <w:t xml:space="preserve">FRENCH REPUBLIC  </w:t>
        <w:br/>
        <w:t xml:space="preserve">Decision No. 04-D-19 of May 19, 2004  </w:t>
        <w:br/>
        <w:t xml:space="preserve">regarding practices attributed to Electricité de France (EDF)  </w:t>
        <w:br/>
        <w:t xml:space="preserve">The Competition Council (permanent commission),  </w:t>
        <w:br/>
        <w:t xml:space="preserve">Having regard to the decision of June 30, 1999, registered under number F 1156, by which the Competition Council initiated an ex officio inquiry into practices implemented by Electricité de France;  </w:t>
        <w:br/>
        <w:t xml:space="preserve">Having regard to Book IV of the Commercial Code and Decree No. 2002-689 of April 30, 2002, setting its conditions of application;  </w:t>
        <w:br/>
        <w:t xml:space="preserve">Having regard to Articles 87-1 and 82 of the Treaty;  </w:t>
        <w:br/>
        <w:t xml:space="preserve">Having regard to the other documents in the file;  </w:t>
        <w:br/>
        <w:t xml:space="preserve">Having regard to the observations presented by the Government Commissioner;  </w:t>
        <w:br/>
        <w:t>The reporting member, the general rapporteur, and the Government Commissioner heard during the session of March 2, 2004,</w:t>
      </w:r>
    </w:p>
    <w:p>
      <w:r>
        <w:t xml:space="preserve">I. Findings  </w:t>
        <w:br/>
        <w:t xml:space="preserve">A. - THE REFERRAL  </w:t>
        <w:br/>
        <w:t xml:space="preserve">1. The ex officio referral of the Council concerns practices of EDF, consisting of providing financial aid to paper mills for the acquisition of electric infrared dryers, as well as a grant to a manufacturer of electric dryers.  </w:t>
        <w:br/>
        <w:t xml:space="preserve">2. These aids were granted in April 1995 for the first, in March and April 1996 for the second and third, and concerned:  </w:t>
        <w:br/>
        <w:t xml:space="preserve">• the Condat paper mill;  </w:t>
        <w:br/>
        <w:t xml:space="preserve">• the Lancey paper mill;  </w:t>
        <w:br/>
        <w:t xml:space="preserve">• the Sibille paper mill.  </w:t>
        <w:br/>
        <w:t>3. In addition to these aids granted to paper mills, there is the grant awarded to the company IRS, a manufacturer of infrared dryers, paid in 1996 by EDF.</w:t>
      </w:r>
    </w:p>
    <w:p>
      <w:r>
        <w:t xml:space="preserve">4. These practices, attributed to EDF, were simultaneously examined by the European Commission following a referral by the company Solaronics in June 1996, based on Article 87-1 and Article 82 of the Treaty.  </w:t>
        <w:br/>
        <w:t>5. This examination led, on the one hand, to the rejection of the classification as State aid in a decision dated February 11, 2000, and, on the other hand, to the dismissal of the complaint filed by the company Solaronics for abuse of dominant position against EDF, a dismissal that was notified to the complainant by letter dated March 15, 2002.</w:t>
      </w:r>
    </w:p>
    <w:p>
      <w:r>
        <w:t xml:space="preserve">B. – THE ANALYSIS OF THE EUROPEAN COMMISSION  </w:t>
        <w:br/>
        <w:t>6. Given the identity of the practices targeted in the ex officio referral and those examined by the European Commission, it is appropriate to recall the Commission's analysis on the incriminated practices.</w:t>
      </w:r>
    </w:p>
    <w:p>
      <w:r>
        <w:t xml:space="preserve">1. ON THE CLASSIFICATION OF STATE AID FOR THE FINANCIAL AID GRANTED BY EDF  </w:t>
        <w:br/>
        <w:t xml:space="preserve">7. According to Article 87-1 of the Treaty, aid is incompatible with the common market, insofar as it affects trade between Member States, if it is granted by the State or through State resources - in any form whatsoever - and if it distorts or threatens to distort competition by favoring certain enterprises or certain productions.  </w:t>
        <w:br/>
        <w:t xml:space="preserve">8. However, concerning the aid granted to the paper mills, examined by the Commission, it is noted that while this aid was indeed granted by the French State, which holds 100% of EDF's capital, it did not distort competition since it did not actually favor certain enterprises or certain productions to the detriment of others. Indeed, the advantage, characterized by the complainant as discriminatory, could have consisted of EDF granting a preferential electricity sales rate to certain paper mills.  </w:t>
        <w:br/>
        <w:t xml:space="preserve">9. The Commission, however, considers in the case at hand that the implementation of such a preferential rate is not anti-competitive, since it is always permissible for a company, whether private or public, to make a distinction in its rates according to its categories of customers. Price discrimination is only unlawful when it results in predatory pricing. On the contrary, it appears that in the case examined, the electricity sales prices to paper mills covered variable costs and a significant portion of EDF's fixed costs (from 37% to 57% of these costs). The electricity sales prices to paper mills were therefore not predatory. Furthermore, these preferential rates were justified by commercial reasons: at the time of the facts, EDF had had significant overcapacity for at least 10 years. It is normal for the public establishment to seek to sell its excess electricity production by offering attractive rates to paper mills, especially since this type of energy cannot be stored. As a result, EDF was able to grant paper mills commercial aids equivalent to preferential rates on electricity, accompanying the choice of electric infrared equipment, as these rates thus ensured an outlet for its excess production.  </w:t>
        <w:br/>
        <w:t>10. Regarding the aid to the company IRS, it was granted by EDF under the same conditions that would have prevailed if it had been a private investor. EDF reasoned in an identical manner and the loan cannot, consequently, be considered as State aid.</w:t>
      </w:r>
    </w:p>
    <w:p>
      <w:r>
        <w:t xml:space="preserve">2. ON THE POSSIBLE ABUSE OF DOMINANT POSITION BY EDF  </w:t>
        <w:br/>
        <w:t xml:space="preserve">11. According to the complainant's allegations, EDF, in a dominant position in the electricity market, allegedly implemented a policy of discriminatory pricing among its electricity buyers as well as predatory pricing intended to harm other energy suppliers, particularly natural gas, and companies providing drying equipment operating with natural gas to paper companies.  </w:t>
        <w:br/>
        <w:t xml:space="preserve">12. The Commission notes that, during the period in question, EDF was in a dominant position in the electricity supply market but dismisses the complaint due to the absence of effect on the different concerned markets:  </w:t>
        <w:br/>
        <w:t xml:space="preserve">• in the electricity supply market: the electricity sales prices were not predatory prices, as indicated by the analysis conducted during the examination of the complaint under the classification of State aid and presented in the decision of February 11, 2000. EDF covered its variable costs and a significant portion of its fixed costs;  </w:t>
        <w:br/>
        <w:t xml:space="preserve">• in the paper market, the anti-competitive effects could only have been insignificant since the energy consumed to dry the paper represents only about 0.7% of the factory cost price of paper;  </w:t>
        <w:br/>
        <w:t xml:space="preserve">• in the paper dryer market, the preferential pricing was offered only to a small number of paper companies. Furthermore, the duration of the contracts providing for this pricing was limited to 6 years. These contracts have now expired.  </w:t>
        <w:br/>
        <w:t>13. Based on the Commission's analysis, as outlined in the preceding findings, the reporting member proposed to the Council to dismiss the procedure.</w:t>
      </w:r>
    </w:p>
    <w:p>
      <w:r>
        <w:t xml:space="preserve">II. Discussion  </w:t>
        <w:br/>
        <w:t xml:space="preserve">14. Article L. 464-6 of the Commercial Code specifies that "When no practice likely to harm competition in the market is established, the Competition Council may decide, after the author of the referral and the Government Commissioner have been given the opportunity to consult the file and to present their observations, that there is no need to pursue the procedure."  </w:t>
        <w:br/>
        <w:t xml:space="preserve">15. The scope of the ex officio referral of the Council covers the same practices that have already been examined by the European Commission in terms of State aid as well as on the basis of abuse of dominant position.  </w:t>
        <w:br/>
        <w:t>16. In accordance with the principle of the primacy of Community law, established by Article 3 f of the Treaty and recalled by the Court of Justice of the European Communities, notably in the "Simmenthal" judgment, March 9, 1978, 106/77: "any national judge, seized within the framework of his jurisdiction, has the obligation to fully apply Community law and to</w:t>
      </w:r>
    </w:p>
    <w:p>
      <w:r>
        <w:rPr>
          <w:b/>
        </w:rPr>
        <w:t>[Pages 4–4]</w:t>
      </w:r>
    </w:p>
    <w:p>
      <w:r>
        <w:t>protect the rights that it confers on individuals, by disregarding any provision that may be contrary to national law" and the judgment "Spanish Banks" (1992) "a parallel application of national competition law may only be permitted insofar as it does not prejudice the uniform application of Community law" and in the judgment "Murphy" of February 4, 1988, 157/86, requiring a consistent interpretation of national law, the Competition Council must have an interpretation consistent with that of the Community authorities in the examination of the facts submitted to it.</w:t>
      </w:r>
    </w:p>
    <w:p>
      <w:r>
        <w:t>17. Now, the practices targeted in the ex officio referral are part of the practices examined by the Commission which led, on the one hand, to the decision of February 11, 2002, and, on the other hand, to the decision to dismiss the complaint, notified to the complainant by letter dated March 15, 2002.</w:t>
      </w:r>
    </w:p>
    <w:p>
      <w:r>
        <w:t>18. As indicated by the aforementioned decisions, the examination of the practices carried out by the Commission on these two occasions did not reveal any infringement of competition. No predatory pricing on electricity was found, which could have resulted from the preferential pricing granted by EDF to the paper mills in question and which could have distorted the electricity supply market. In other markets, no anti-competitive object or effect of the practices in question was noted by the European Commission.</w:t>
      </w:r>
    </w:p>
    <w:p>
      <w:r>
        <w:t>19. It follows from the above that it is not established that the company Electricité de France has committed an abuse of dominant position and it is therefore appropriate to apply the provisions of Article L. 464-6 of the Commercial Code;</w:t>
      </w:r>
    </w:p>
    <w:p>
      <w:r>
        <w:t>DECISION</w:t>
      </w:r>
    </w:p>
    <w:p>
      <w:r>
        <w:t>Single Article: There is no need to continue the proceedings.</w:t>
      </w:r>
    </w:p>
    <w:p>
      <w:r>
        <w:t>Deliberated, on the oral report of Ms. Wibaux, by Mr. Jenny, Vice-President, presiding over the session, Mr. Nasse, Vice-President, and Mr. Robin, member.</w:t>
      </w:r>
    </w:p>
    <w:p>
      <w:r>
        <w:t>The session secretary, The Vice-President, presiding over the session,</w:t>
      </w:r>
    </w:p>
    <w:p>
      <w:r>
        <w:t>Christine Charron Frédéric Jenny</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