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https://www.autoritedelaconcurrence.fr/fr/decision/relative-des-pratiques-mises-en-oeuvre-dans-le-secteur-de-la-billetterie-de-spectacles</w:t>
      </w:r>
    </w:p>
    <w:p>
      <w:r>
        <w:t>Pages translated : 4</w:t>
      </w:r>
    </w:p>
    <w:p/>
    <w:p>
      <w:r>
        <w:rPr>
          <w:b/>
        </w:rPr>
        <w:t>[Pages 1–3]</w:t>
      </w:r>
    </w:p>
    <w:p>
      <w:r>
        <w:t xml:space="preserve">FRENCH REPUBLIC  </w:t>
        <w:br/>
        <w:t xml:space="preserve">Decision No. 17-D-10 of July 24, 2017  </w:t>
        <w:br/>
        <w:t>regarding practices implemented in the show ticketing sector</w:t>
      </w:r>
    </w:p>
    <w:p>
      <w:r>
        <w:t xml:space="preserve">The Competition Authority (Vice-President ruling alone);  </w:t>
        <w:br/>
        <w:t xml:space="preserve">Having regard to the letter registered on November 16, 2009, under number 10/0006 F, by which Mr. X..., a trader, referred to the Competition Authority practices implemented in the market of show ticket distribution;  </w:t>
        <w:br/>
        <w:t xml:space="preserve">Having regard to Articles L. 461-3, paragraph 4, and L. 462-8 of the Commercial Code;  </w:t>
        <w:br/>
        <w:t xml:space="preserve">Having regard to Book IV of the amended Commercial Code;  </w:t>
        <w:br/>
        <w:t xml:space="preserve">Having regard to the other documents in the file;  </w:t>
        <w:br/>
        <w:t xml:space="preserve">Having regard to Decision No. 10-JU-03 of September 2, 2010, by which the President of the Competition Authority designated Ms. Élisabeth Flüry-Hérard, Vice-President, to adopt alone the decision resulting from the examination of the referral registered under number 10/0006 F;  </w:t>
        <w:br/>
        <w:t xml:space="preserve">Having regard to the decision of the Competition Authority No. 10-S-01 of December 3, 2010, regarding practices implemented in the show ticketing sector;  </w:t>
        <w:br/>
        <w:t xml:space="preserve">Having regard to Decision No. 17-JU-03 of June 2, 2017, by which the President of the Competition Authority designated Ms. Claire Favre, Vice-President, to adopt alone the decision resulting from the examination of the referral registered under number 10/0006 F;  </w:t>
        <w:br/>
        <w:t xml:space="preserve">The Deputy General Rapporteur and Mr. X... heard during the session of July 13, 2017, the Government Commissioner having been regularly summoned;  </w:t>
        <w:br/>
        <w:t>Adopts the following decision:</w:t>
      </w:r>
    </w:p>
    <w:p>
      <w:r>
        <w:t xml:space="preserve">I. Findings  </w:t>
        <w:br/>
        <w:t xml:space="preserve">1. The following will be presented successively:  </w:t>
        <w:br/>
        <w:t xml:space="preserve">- the referral (A);  </w:t>
        <w:br/>
        <w:t>- the procedure's progress (B).</w:t>
      </w:r>
    </w:p>
    <w:p>
      <w:r>
        <w:t xml:space="preserve">A. THE REFERRAL  </w:t>
        <w:br/>
        <w:t xml:space="preserve">2. By a letter registered on November 16, 2009, Mr. X..., who operates a leisure website under the brand Starlight and sells show tickets, referred to the Competition Authority practices implemented in the market of show ticket distribution by the national union of producers, distributors, and show venues (hereinafter "Prodiss") as well as by certain show producers and ticketing companies.  </w:t>
        <w:br/>
        <w:t>3. The referral argues, on the one hand, that the obsolete legal framework of the show ticketing sector would be contrary to the freedom of commerce and industry, and on the other hand, that Prodiss and certain companies in the sector would have colluded with the aim of preventing new companies from accessing the show ticket distribution market and to obstruct price freedom.</w:t>
      </w:r>
    </w:p>
    <w:p>
      <w:r>
        <w:t xml:space="preserve">B. THE PROCEDURE'S PROGRESS  </w:t>
        <w:br/>
        <w:t xml:space="preserve">4. The investigation services, considering that the alleged facts were not supported by sufficiently probative elements, concluded to reject the referral on the basis of the provisions of Article L. 462-8 of the Commercial Code.  </w:t>
        <w:br/>
        <w:t xml:space="preserve">5. However, considering that it was not excluded, in light of case law, that the actions taken by Prodiss, similar to the proposal made to its members to include certain clauses in their general terms of sale in order to dissuade them from resorting to a form of show ticket distribution, could, under certain conditions, be qualified as anti-competitive practices, by Decision No. 10-S-01 dated December 3, 2010, the Competition Authority referred the case for investigation.  </w:t>
        <w:br/>
        <w:t xml:space="preserve">6. No investigative act was carried out following this decision.  </w:t>
        <w:br/>
        <w:t xml:space="preserve">7. In an email dated October 2, 2012, the procedure office of the Competition Authority questioned the former counsel of Starlight on "the current legal situation" of the company, and in particular on whether "the legal entity of the company has disappeared due to deregistration from the commercial and companies register" and whether "the manager still retains his management powers today."  </w:t>
        <w:br/>
        <w:t>8. In an email dated October 8, 2012, the former counsel of Starlight informed the procedure office that Mr. X... had not been his client for more than a year.</w:t>
      </w:r>
    </w:p>
    <w:p>
      <w:r>
        <w:t xml:space="preserve">9. In an email dated October 19, 2012, the procedure office acknowledged this change. By an email of the same day, the procedure office then reiterated its request for information from Mr. X... himself.  </w:t>
        <w:br/>
        <w:t>10. The latter responded by an email dated October 24, 2012.</w:t>
      </w:r>
    </w:p>
    <w:p>
      <w:r>
        <w:t xml:space="preserve">II. Discussion  </w:t>
        <w:br/>
        <w:t xml:space="preserve">11. Article L. 462-7 of the Commercial Code provides that "[t]he Authority cannot be seized of facts dating back more than five years if no act tending to their investigation, establishment, or sanction has been carried out."  </w:t>
        <w:br/>
        <w:t xml:space="preserve">12. Article L. 462-8 of the said code states that: "The Competition Authority may declare, by a reasoned decision, the referral inadmissible [...] if the facts are time-barred within the meaning of Article L. 462-7 [...]."  </w:t>
        <w:br/>
        <w:t xml:space="preserve">13. Finally, Article L. 461-3 provides that: "The President, or a Vice-President designated by him, may adopt alone the decisions provided for in Article L. 462-8."  </w:t>
        <w:br/>
        <w:t xml:space="preserve">14. The acts interrupting the statute of limitations provided for in Article L. 462-7 relate only to the facts of which the Authority is seized, that is to say those mentioned in the referral and, in the case of a continuous infringement, those that would have continued after this referral. However, an investigative act cannot suspend the statute of limitations for facts that occurred after this act and of which the Authority, by hypothesis, is not seized (Court of Appeal of Paris, June 24, 2008, RG No. 2006/06913).  </w:t>
        <w:br/>
        <w:t xml:space="preserve">15. In this case, Decision No. 10-S-01 referring for investigation dated December 3, 2010 constitutes the last procedural act tending to the investigation, establishment, or sanction of the facts of which the Authority was seized, having interrupted the statute of limitations.  </w:t>
        <w:br/>
        <w:t xml:space="preserve">16. Indeed, the response provided by a company under investigation, and even more so by the referring party, to a request for information addressed by the rapporteur (for example, the communication of balance sheets and income statements, or the indication of changes in shareholding, corporate name, or subsidiaries) does not, according to the case law of the Court of Cassation, tend to the investigation, establishment, or sanction of the facts and therefore does not interrupt the statute of limitations (Court of Cassation, Commercial Chamber, November 6, 2007, appeal No. 06-17881 Bull. IV).  </w:t>
        <w:br/>
        <w:t xml:space="preserve">17. In this case, the three emails sent by the procedure office of the Competition Authority to the former counsel of Starlight dated October 2, 2012, and October 19, 2012, and then to Mr. X... himself dated October 19, 2012, to obtain updated information on the legal situation of the referring party, which it should have spontaneously communicated to the Authority, did not tend to the investigation, establishment, or sanction of the facts but constitute mere requests for information.  </w:t>
        <w:br/>
        <w:t xml:space="preserve">18. Moreover, these requests, which are not addressed to the companies involved but to the referring party, were sent by the procedure office and not by the investigation services.  </w:t>
        <w:br/>
        <w:t>19. For all these reasons, these two emails cannot be considered as acts interrupting the statute of limitations.</w:t>
      </w:r>
    </w:p>
    <w:p>
      <w:r>
        <w:rPr>
          <w:b/>
        </w:rPr>
        <w:t>[Pages 4–4]</w:t>
      </w:r>
    </w:p>
    <w:p>
      <w:r>
        <w:t>20. Consequently, no interruptive act of prescription occurred after the decision to refer for investigation dated December 3, 2010.</w:t>
      </w:r>
    </w:p>
    <w:p>
      <w:r>
        <w:t>21. The five-year prescription provided for by the aforementioned Article L. 462-7 has therefore been acquired since December 3, 2015, which results in the inadmissibility of the referral, without the need to rule on the ten-year prescription or on the continuous or non-continuous nature of the practices reported.</w:t>
      </w:r>
    </w:p>
    <w:p>
      <w:r>
        <w:t>DECISION</w:t>
      </w:r>
    </w:p>
    <w:p>
      <w:r>
        <w:t>Sole Article: the referral registered under number 10/0006 F has become inadmissible due to the prescription of the facts.</w:t>
      </w:r>
    </w:p>
    <w:p>
      <w:r>
        <w:t>Deliberated on the oral report of Mr. Umberto Berkani, deputy general rapporteur, by Ms. Claire Favre, session president.</w:t>
      </w:r>
    </w:p>
    <w:p>
      <w:r>
        <w:t>The session secretary, The session president,</w:t>
        <w:br/>
        <w:t>Claire Villeval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