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https://www.autoritedelaconcurrence.fr/fr/decision/relative-des-pratiques-mises-en-oeuvre-dans-le-secteur-de-la-certification-de-logements</w:t>
      </w:r>
    </w:p>
    <w:p>
      <w:r>
        <w:t>Pages translated : 10</w:t>
      </w:r>
    </w:p>
    <w:p/>
    <w:p>
      <w:r>
        <w:rPr>
          <w:b/>
        </w:rPr>
        <w:t>[Pages 1–3]</w:t>
      </w:r>
    </w:p>
    <w:p>
      <w:r>
        <w:t xml:space="preserve">FRENCH REPUBLIC  </w:t>
        <w:br/>
        <w:t xml:space="preserve">Decision No. 26-D-01 of January 27, 2026  </w:t>
        <w:br/>
        <w:t xml:space="preserve">regarding practices implemented in the housing certification sector  </w:t>
        <w:br/>
        <w:t xml:space="preserve">The Competition Authority (Vice-President acting alone),  </w:t>
        <w:br/>
        <w:t xml:space="preserve">Having regard to the letter registered on April 5, 2024 under number 24/0033 F, by which the company Prestaterre referred to the Competition Authority regarding practices implemented in the sector of conformity assessment of housing and tertiary building construction projects;  </w:t>
        <w:br/>
        <w:t xml:space="preserve">Having regard to the supplementary referral from the company Prestaterre dated April 23, 2025;  </w:t>
        <w:br/>
        <w:t xml:space="preserve">Having regard to the Treaty on the Functioning of the European Union, and in particular Article 101;  </w:t>
        <w:br/>
        <w:t xml:space="preserve">Having regard to Book IV of the Commercial Code, and in particular Articles L. 420-1 and L. 462-8;  </w:t>
        <w:br/>
        <w:t xml:space="preserve">Having regard to Decision No. 25-JU-07 of November 17, 2025, by which the President designated Mr. Thibaud Vergé, Vice-President, to adopt alone the decision resulting from the examination of the referral registered under number 24/0033 F;  </w:t>
        <w:br/>
        <w:t xml:space="preserve">Having regard to the other documents in the file;  </w:t>
        <w:br/>
        <w:t xml:space="preserve">The rapporteur, the deputy general rapporteur, the representatives of the company Prestaterre, and the Government Commissioner heard during the session of the Competition Authority on December 15, 2025;  </w:t>
        <w:br/>
        <w:t>Adopts the following decision:</w:t>
      </w:r>
    </w:p>
    <w:p>
      <w:r>
        <w:t xml:space="preserve">Summary1  </w:t>
        <w:br/>
        <w:t xml:space="preserve">The company Prestaterre (hereinafter "Prestaterre"), a conformity assessment body (CAB) involved in housing certification, has referred to the Competition Authority (hereinafter "the Authority") practices implemented in the sector of conformity assessment of housing and tertiary building construction projects by the company Cerqual Qualitel Certification (hereinafter "Cerqual") with various public entities (municipalities, department, region, etc.).  </w:t>
        <w:br/>
        <w:t xml:space="preserve">Prestaterre notably alleges that the concerned public entities, in consultation with Cerqual, would develop urban planning charters or guides requiring real estate project developers to certify the conformity of their projects to the "NF Habitat" or "NF Habitat HQE" standards. Cerqual being the sole holder of operating licenses for these brands, such prescriptions would systematically require project developers to use its services. Compliance with these requirements would also condition the acceptance of projects and/or the granting of subsidies or support for projects by the concerned public entities. The referring party further argues that these public entities would also enter into partnership agreements with Cerqual under which they would commit to prescribing its standards. These practices would have the object and effect of establishing a barrier to entry to the detriment of other CABs.  </w:t>
        <w:br/>
        <w:t xml:space="preserve">However, the Authority considered that it was not competent to rule on this matter. Indeed, when these public entities adopt urban planning charters or guides and/or enter into partnership agreements with Cerqual, they do not engage in any "production, distribution, and service activity" within the meaning of Article L. 410-1 of the Commercial Code. Furthermore, the adoption of charters or guides as well as the conclusion of these agreements fall within the normative power of these public entities and are part of the organization of the public service for which they are responsible. Therefore, assuming that the contested documents could have restrictive effects on competition, their assessment would, in any case, fall under the exclusive jurisdiction of the administrative judge.  </w:t>
        <w:br/>
        <w:t>1 This summary is strictly informative. Only the reasons for the decision numbered below are authoritative.</w:t>
      </w:r>
    </w:p>
    <w:p>
      <w:r>
        <w:t xml:space="preserve">TABLE OF CONTENTS  </w:t>
        <w:br/>
        <w:t xml:space="preserve">I. FINDINGS ................................................................................ 4  </w:t>
        <w:br/>
        <w:t xml:space="preserve">A. THE REFERRAL ....................................................................................................................4  </w:t>
        <w:br/>
        <w:t xml:space="preserve">B. THE SECTOR OF ACTIVITY: ENERGY AND ENVIRONMENTAL CERTIFICATION ..............................................................................................4  </w:t>
        <w:br/>
        <w:t xml:space="preserve">1. LEGAL AND REGULATORY FRAMEWORK OF THE SECTOR AND ECONOMIC CONTEXT .............................................................................................................4  </w:t>
        <w:br/>
        <w:t xml:space="preserve">a) Energy and environmental regulations in France ........ 4  </w:t>
        <w:br/>
        <w:t xml:space="preserve">b) Certification of construction or renovation projects by conformity assessment bodies .................................................. 4  </w:t>
        <w:br/>
        <w:t xml:space="preserve">2. THE COMPANIES INVOLVED ...............................................................................5  </w:t>
        <w:br/>
        <w:t xml:space="preserve">a) Prestaterre ................................................................................................. 5  </w:t>
        <w:br/>
        <w:t xml:space="preserve">b) Cerqual ....................................................................................................... 6  </w:t>
        <w:br/>
        <w:t xml:space="preserve">C. THE PRACTICES DENOUNCED .................................................................................6  </w:t>
        <w:br/>
        <w:t xml:space="preserve">II. DISCUSSION ON ADMISSIBILITY ........................................... 7  </w:t>
        <w:br/>
        <w:t xml:space="preserve">A. APPLICABLE PRINCIPLES ON THE COMPETENCE OF THE AUTHORITY...........7  </w:t>
        <w:br/>
        <w:t xml:space="preserve">B. APPLICATION TO THE CASE AT HAND ..........................................................................8  </w:t>
        <w:br/>
        <w:t>DECISION ..................................................................................................... 10</w:t>
      </w:r>
    </w:p>
    <w:p>
      <w:r>
        <w:rPr>
          <w:b/>
        </w:rPr>
        <w:t>[Pages 4–6]</w:t>
      </w:r>
    </w:p>
    <w:p>
      <w:r>
        <w:t xml:space="preserve">I. Findings  </w:t>
        <w:br/>
        <w:t xml:space="preserve">A. THE REFERRAL  </w:t>
        <w:br/>
        <w:t xml:space="preserve">1. By letter registered on April 5, 20242 under number 24/0033 F, supplemented by a letter dated April 23, 20253, the company Prestaterre (hereinafter "Prestaterre") referred to the Competition Authority (hereinafter "the Authority") regarding practices implemented in the sector of conformity assessment of housing and tertiary building construction projects.  </w:t>
        <w:br/>
        <w:t xml:space="preserve">2. Prestaterre accuses the company Cerqual Qualitel Certification (hereinafter "Cerqual") and various public entities of implementing collusive practices contrary to Article L. 420-1 of the Commercial Code.  </w:t>
        <w:br/>
        <w:t xml:space="preserve">B. THE SECTOR OF ACTIVITY: ENERGY AND ENVIRONMENTAL CERTIFICATION  </w:t>
        <w:br/>
        <w:t xml:space="preserve">1. LEGAL AND REGULATORY FRAMEWORK OF THE SECTOR AND ECONOMIC CONTEXT  </w:t>
        <w:br/>
        <w:t xml:space="preserve">a) Energy and environmental regulations in France  </w:t>
        <w:br/>
        <w:t xml:space="preserve">3. For over forty years, France has been committed to environmental protection by prioritizing measures that encourage the country's energy transition. Between 1974 and 2012, several thermal regulations (hereinafter "RT") were implemented (RT 1974, RT 1982, RT 1988, RT 2000, RT 2005, and RT 2012). Succeeding RT 2012, the 2020 environmental regulation (RE 2020) is the new energy and environmental regulation applicable to all new construction. It has been in effect since January 1, 2022. All legislative and regulatory provisions related to obligations to be met in terms of energy and environmental performance are codified in Articles L. 171-1 to L. 175-2 and R. 171-1 to R. 171-31 of the Construction and Housing Code (hereinafter "CCH").  </w:t>
        <w:br/>
        <w:t xml:space="preserve">b) Certification of construction or renovation projects by conformity assessment bodies  </w:t>
        <w:br/>
        <w:t xml:space="preserve">4. The relevant sector is that of certification by conformity assessment bodies (hereinafter "CAB") of construction or renovation projects for collective housing and/or tertiary buildings.  </w:t>
        <w:br/>
        <w:t xml:space="preserve">5. Articles R. 171-4 to R. 171-9 of the CCH define the certification procedures when a project developer wishes to justify the "qualification of positive energy construction" or obtain the labels "high energy performance renovation" or "high energy and environmental performance".  </w:t>
        <w:br/>
        <w:t xml:space="preserve">6. In order to promote virtuous construction projects, public authorities have provided support mechanisms allowing them to benefit from exceeding construction rules or from property tax exemptions.  </w:t>
        <w:br/>
        <w:t xml:space="preserve">7. Project developers of construction or renovation wishing to benefit from the labels provided for in Articles R. 171-7 and R. 171-9 of the CCH, and/or the aids mentioned in the previous paragraph, must be able to justify, for each building, a certification within the meaning of the Consumer Code, issued according to the standard NF EN ISO/IEC 17065:2012 by a CAB accredited by the French Accreditation Committee (hereinafter "COFRAC").  </w:t>
        <w:br/>
        <w:t xml:space="preserve">8. Certification thus consists of attesting that the product or service (in this case, the building, in the case of housing construction) presents a certain number of characteristics defined in a certification reference developed by the CAB. The latter generally attaches to this technical document a label in the form of a trademark registered in advance with the National Institute of Industrial Property (INPI).  </w:t>
        <w:br/>
        <w:t xml:space="preserve">9. Once certification is ensured and validated, the CAB grants the project developer the right to associate the building, subject of the project, with its certification label or a label it is authorized to issue.  </w:t>
        <w:br/>
        <w:t xml:space="preserve">10. There are four CABs: Cerqual (certifying the quality of housing), Certivea (for tertiary buildings), Prestaterre Certifications (regarding the energy, environmental, and societal performance of buildings), and Promotelec Services (certifying high-performing, economical, and low-carbon buildings).  </w:t>
        <w:br/>
        <w:t xml:space="preserve">2. THE COMPANIES INVOLVED  </w:t>
        <w:br/>
        <w:t xml:space="preserve">a) Prestaterre  </w:t>
        <w:br/>
        <w:t xml:space="preserve">11. Prestaterre is a CAB, accredited by COFRAC since 2012, which operates in the field of energy, environmental, and societal performance of buildings.  </w:t>
        <w:br/>
        <w:t xml:space="preserve">12. Prestaterre has developed four certification references covering the housing and tertiary building sector: "BEE New Housing," "BEE Housing Renovation," "BEE New Tertiary," and "BEE Tertiary Renovation." It also issues labels for several partners with whom it has entered into agreements such as Effinergie, the Association for the Development of Low Carbon Building (BBCA), or the ministries responsible for ecological transition and housing.  </w:t>
        <w:br/>
        <w:t xml:space="preserve">b) Cerqual  </w:t>
        <w:br/>
        <w:t xml:space="preserve">13. The company Cerqual, a subsidiary of the Qualitel association, is a CAB accredited by COFRAC. In partnership with the company AFNOR Certification and the HQE-GBC Alliance, an association of professionals for a sustainable living environment, Cerqual has developed certification references in the field of residential building construction under the titles "NF Habitat" and "NF Habitat HQE." It holds exclusive operating licenses for the "NF Habitat" and "NF Habitat HQE" brands from AFNOR Certification and the HQE-GBC Alliance respectively.  </w:t>
        <w:br/>
        <w:t xml:space="preserve">C. THE PRACTICES DENOUNCED  </w:t>
        <w:br/>
        <w:t xml:space="preserve">14. Prestaterre denounces "attacks on competition" resulting from collusive practices implemented between the company Cerqual and several public entities.  </w:t>
        <w:br/>
        <w:t xml:space="preserve">15. According to the complainant, these public entities would have developed, in consultation with the company Cerqual, charters or guides that would require any real estate project developer to have their project certified by a third-party CAB for compliance with the "NF Habitat" or "NF Habitat HQE" references. Given that Cerqual is the sole holder of an operating license for these brands, such rules would systematically compel project developers to resort to Cerqual to the detriment of any other CAB. Compliance with these requirements would condition the acceptance of projects and/or the granting of subsidies or support for projects by the targeted public entities.  </w:t>
        <w:br/>
        <w:t xml:space="preserve">16. Furthermore, Prestaterre argues that Cerqual would have these charters or guides developed under a "territorial partnership agreement" that it concludes in parallel with each of the public entities that have adopted charters or guides. The latter would then contractually commit to Cerqual to prescribe its certification reference to real estate project developers operating in their territory, to the exclusion of any other competing reference. In 2020, Cerqual would thus have concluded 57 partnership agreements with various public entities.  </w:t>
        <w:br/>
        <w:t>17. For Prestaterre, both the partnership agreements and the aforementioned charters or guides would have the object and effect of distorting competition in the market for the certification of construction and renovation operations for collective housing.</w:t>
      </w:r>
    </w:p>
    <w:p>
      <w:r>
        <w:rPr>
          <w:b/>
        </w:rPr>
        <w:t>[Pages 7–9]</w:t>
      </w:r>
    </w:p>
    <w:p>
      <w:r>
        <w:t xml:space="preserve">establishing a barrier to entry against other CABs, in violation of the provisions of Article L. 420-1 of the Commercial Code.  </w:t>
        <w:br/>
        <w:t xml:space="preserve">II. Discussion on Admissibility  </w:t>
        <w:br/>
        <w:t xml:space="preserve">A. APPLICABLE PRINCIPLES ON THE COMPETENCE OF THE AUTHORITY  </w:t>
        <w:br/>
        <w:t xml:space="preserve">18. Pursuant to Article L. 410-1 of the Commercial Code, the rules relating to price freedom and competition apply to "all activities of production, distribution, and services, including those carried out by public entities, notably within the framework of public service delegation agreements," that is to say, to economic activities.  </w:t>
        <w:br/>
        <w:t xml:space="preserve">19. Nevertheless, the mere fact that a public entity engages in an economic activity does not necessarily establish the competence of the Authority.  </w:t>
        <w:br/>
        <w:t xml:space="preserve">20. Indeed, the Conflict Tribunal has ruled that "while public entities may be sanctioned by the Competition Council acting under the control of the judiciary for engaging in production, distribution, or service activities, the decisions by which these entities fulfill their public service mission using public power prerogatives fall under the jurisdiction of the administrative court to assess their legality and, where appropriate, to rule on the liability incurred by these public entities" (emphasis added). This position was confirmed by the Conflict Tribunal in a ruling dated May 4, 2009.  </w:t>
        <w:br/>
        <w:t xml:space="preserve">21. In a ruling dated February 1, 2023, concerning the Order of Architects, the Court of Cassation also held that "public entities that engage in production, distribution, or service activities may be sanctioned by the Competition Authority, under the control of the Paris Court of Appeal, unless the practices are part of the fulfillment of the public service mission and/or involve the exercise of public power prerogatives to carry out the activities in question" (emphasis added). Furthermore, it added that "if the decisions by which public entities or private entities entrusted with a public service carry out the mission assigned to them and exercise public power prerogatives, which may constitute acts of production, distribution, or services within the meaning of Article L. 410-1 of the Commercial Code, fall within its scope, this is not the case when these entities act outside of this mission or do not exercise any public power prerogative."  </w:t>
        <w:br/>
        <w:t xml:space="preserve">22. This position was followed by the Paris Court of Appeal in a ruling dated November 27, 2025, in which it held that "the Authority is competent to address anti-competitive practices occurring outside the public service mission assigned to a private or public entity or when no public power prerogatives are exercised by that entity. Conversely, the decisions by which the said entity fulfills its public service mission using public power prerogatives fall under the jurisdiction of the administrative court, which assesses their legality and rules, where appropriate, on the liability incurred."  </w:t>
        <w:br/>
        <w:t xml:space="preserve">23. It follows from this case law that the Authority's competence to apply competition rules to practices implemented by a public entity is subject to the fulfillment of two cumulative conditions, namely that the practices must:  </w:t>
        <w:br/>
        <w:t xml:space="preserve">− fall within the framework of an economic activity carried out by the public entity, understood as an activity of production, distribution, or services; and,  </w:t>
        <w:br/>
        <w:t xml:space="preserve">− occur "outside the public service mission" assigned to the public entity or be implemented without the public entity making "use of public power prerogatives." When the practices are inseparable from the fulfillment of a public service mission and/or involve the exercise of public power prerogatives, it is exclusively the administrative judge who assesses their legality, including in light of competition rules.  </w:t>
        <w:br/>
        <w:t xml:space="preserve">24. If either of these conditions is lacking, the Authority must, pursuant to the first paragraph of Article L. 462-8 of the Commercial Code, "declare, by reasoned decision, the referral inadmissible [...] if it considers that the alleged facts do not fall within its competence."  </w:t>
        <w:br/>
        <w:t xml:space="preserve">B. APPLICATION TO THE CASE AT HAND  </w:t>
        <w:br/>
        <w:t xml:space="preserve">25. The charters or guides, the validity of which is contested by the referring party, are documents unilaterally adopted by the public entities concerned. One of these charters specifies, for example, that it comes "in addition to urban planning rules" and constitutes "the basis for a partnership relationship that the city wishes to establish with the project owners of real estate operations occurring in its territory," with a view to the necessary adaptation of the city "to climate and environmental challenges."  </w:t>
        <w:br/>
        <w:t xml:space="preserve">26. One of the main objectives of this approach is to engage project developers to adopt practices that meet sustainable development challenges at each stage of their real estate operations. To ensure compliance with this objective, the public entities initiating these charters or guides require project developers to adhere to a certification process for the operations by engaging third-party CABs and using recognized standards.  </w:t>
        <w:br/>
        <w:t xml:space="preserve">27. It is in this context that, alongside the development of these charters or guides, or even independently of it, several public entities have formed partnerships with Cerqual to encourage project owners to engage in its environmental certification process and obtain from it the "NF Habitat" and/or "NF Habitat HQE" standards.  </w:t>
        <w:br/>
        <w:t xml:space="preserve">28. Both the charters or guides and the agreements denounced by the referring party constitute acts allowing these public entities to ensure the conformity of land use that falls under their responsibility in light of the objectives pursued by the administration.  </w:t>
        <w:br/>
        <w:t xml:space="preserve">29. The implementation of these rules is decentralized in that the majority of the applicable urban planning prescriptions are defined at the local level, in compliance with the provisions of the Urban Planning Code.  </w:t>
        <w:br/>
        <w:t xml:space="preserve">30. However, when they adopt charters or guides and/or enter into partnership agreements with Cerqual, these entities do not offer any goods or services in a given market and do not engage in any "production, distribution, and service activity" within the meaning of Article L. 410-1 of the Commercial Code. For this reason, the Authority is not competent to address the practices denounced by the referring party.  </w:t>
        <w:br/>
        <w:t xml:space="preserve">31. Furthermore, the adoption of the charters or guides as well as the conclusion of the aforementioned partnerships fall within the normative power of these entities and contribute to the organization of the public service for which they are responsible. Thus, in the event that the documents contested by the referring party would lead to restrictive effects on competition, their assessment would fall under the exclusive competence of the administrative judge.  </w:t>
        <w:br/>
        <w:t xml:space="preserve">32. It follows from the above that the Authority is not competent to address the alleged collusive practices by the company Prestaterre.  </w:t>
        <w:br/>
        <w:t>33. The referral registered under number 24/0033 F must therefore be declared inadmissible pursuant to the first paragraph of Article L. 462-8 of the Commercial Code.</w:t>
      </w:r>
    </w:p>
    <w:p>
      <w:r>
        <w:rPr>
          <w:b/>
        </w:rPr>
        <w:t>[Pages 10–10]</w:t>
      </w:r>
    </w:p>
    <w:p>
      <w:r>
        <w:t xml:space="preserve">DECISION  </w:t>
        <w:br/>
        <w:t xml:space="preserve">Sole Article: The referral registered under number 24/0033 F is declared inadmissible.  </w:t>
        <w:br/>
        <w:t xml:space="preserve">Deliberated on the oral report of Ms. Patricia Basset, rapporteur, and the intervention of Mr. Erwann Kerguelen, deputy general rapporteur, by Mr. Thibaud Vergé, vice-president, session president.  </w:t>
        <w:br/>
        <w:t xml:space="preserve">The session officer, The session president,  </w:t>
        <w:br/>
        <w:t xml:space="preserve">Habiba Kaïd-Slimane 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