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https://www.autoritedelaconcurrence.fr/fr/decision/relative-des-pratiques-mises-en-oeuvre-dans-le-secteur-de-la-commercialisation-de</w:t>
      </w:r>
    </w:p>
    <w:p>
      <w:r>
        <w:t>Pages translated : 186</w:t>
      </w:r>
    </w:p>
    <w:p/>
    <w:p>
      <w:r>
        <w:rPr>
          <w:b/>
        </w:rPr>
        <w:t>[Pages 1–3]</w:t>
      </w:r>
    </w:p>
    <w:p>
      <w:r>
        <w:t xml:space="preserve">FRENCH REPUBLIC  </w:t>
        <w:br/>
        <w:t xml:space="preserve">Decision No. 13-D-12 of May 28, 2013  </w:t>
        <w:br/>
        <w:t xml:space="preserve">regarding practices implemented in the sector of  </w:t>
        <w:br/>
        <w:t xml:space="preserve">the marketing of chemical commodities  </w:t>
        <w:br/>
        <w:t xml:space="preserve">The Competition Authority (section III);  </w:t>
        <w:br/>
        <w:t xml:space="preserve">Having regard to decision No. 07-SO-02 of April 5, 2007, registered under number 07/0032 F, by which the Competition Council took up ex officio practices concerning the chemical products sector;  </w:t>
        <w:br/>
        <w:t xml:space="preserve">Having regard to the request from the companies Solvadis France and Quaron SA dated September 20, 2006, registered under number 06/0064 AC and seeking to benefit from IV of Article L. 464-2 of the Commercial Code;  </w:t>
        <w:br/>
        <w:t xml:space="preserve">Having regard to the request from the company Solvadis France dated September 20, 2006, registered under number 06/0065 AC and seeking to benefit from IV of Article L. 464-2 of the Commercial Code;  </w:t>
        <w:br/>
        <w:t xml:space="preserve">Having regard to the request from the company BC Partners and its subsidiaries dated October 26, 2006, registered under number 06/0075 AC and seeking to benefit from IV of Article L. 464-2 of the Commercial Code;  </w:t>
        <w:br/>
        <w:t xml:space="preserve">Having regard to the request from the company Univar SAS dated December 5, 2006, registered under number 06/0092 AC and seeking to benefit from IV of Article L. 464-2 of the Commercial Code;  </w:t>
        <w:br/>
        <w:t xml:space="preserve">Having regard to the conditional leniency opinions No. 07-AC-01 of February 7, 2007, No. 07-AC-02 of February 8, 2007, No. 07-AC-04 of March 23, 2007, and No. 07-AC-05 of May 7, 2007;  </w:t>
        <w:br/>
        <w:t xml:space="preserve">Having regard to the decision of joinder of October 13, 2008, and the decision of disjoinder of June 2, 2009;  </w:t>
        <w:br/>
        <w:t xml:space="preserve">Having regard to Article 101 of the Treaty on the Functioning of the European Union (TFEU);  </w:t>
        <w:br/>
        <w:t xml:space="preserve">Having regard to Book IV of the Commercial Code;  </w:t>
        <w:br/>
        <w:t xml:space="preserve">Having regard to the business secrecy decisions No. 08-DSA-48 of April 4, 2008; No. 08-DSA-51 of April 17, 2008; No. 08-DSADEC-22 of April 18, 2008; No. 08-DSA-55 of April 23, 2008; No. 08-DSA-59 of April 28, 2008; No. 08-DSA-61 of April 30, 2008; No. 08-DSADEC-23 of May 5, 2008; No. 08-DSA-66 of May 6, 2008; No. 08-DSADEC-27 to 08-DSADEC-29, and 08-DSADEC-32 of May 26, 2008; No. 08-DSADEC-38 of June 27, 2008; No. 08-DSADEC-43 of July 3, 2008; No. 08-DSADEC-49 of July 17, 2008; No. 08-DSA-99 of July 17, 2008; No. 08-DSA-129 of July 29, 2008; No. 08-DSADEC-58 to 08-DSADEC-60, 08-DSADEC-65 and 08-DSA-142 of September 1, 2008; No. 09-DSA-208 of October 27, 2009; No. 09-DSA-311 and 09-DSA-312 of December 9, 2009; No. 09-DSA-326 and 09-DSA-327 of December 28, 2009; No. 10-DSA-33 of February 8, 2010; No. 10-DSA-65 of March 15, 2010; No. 10-DSA-94 and 10-DSA-95 of June 1, 2010; No. 12-DSADEC-04 of July 10, 2012; No. 10-DSA-140 and 10-DSA-141 of July 26, 2010; No. 10-DSA-145 of July 30, 2010; No. 10-DSA-146 of August 3, 2010; No. 12-DSADEC-05, 12-DSA-276, 12-DSA-277 and 12-DSA-292 of August 20, 2012; No. 10-DSA-175 and 10-DSA-177 of September 6, 2010; No. 12-DSA-324, 12-DSA-326 and 12-DSA-331 of October 8, 2012; No. 12-DSA-370 of November 7, 2012; No. 13-DSA-31 of January 29, 2013; and No. 13-DSA-44 and 13-DSA-45 of January 31, 2013;  </w:t>
        <w:br/>
        <w:t xml:space="preserve">Having regard to the declassification decisions No. 10-DECR-12 of April 14, 2010; No. 12-DECR-12 of June 4, 2012; No. 12-DECR-14 of July 6, 2012; No. 12-DECR-28 and 12-DEC-52 of November 6, 2012; and No. 12-DEC-53 and 12-DEC-55 of November 7, 2012;  </w:t>
        <w:br/>
        <w:t xml:space="preserve">Having regard to the minutes of July 4, 2012, July 5, 2012, August 1, 2012, and September 17, 2012, by which Solvadis France, Solvadis Holding SARL, Solvadis GmbH, Caldic Est SASU, Univar SAS, Univar France SNC, Univar France BV, Univar Europe Holdings BV, Univar NV, and GEA Group Aktiengesellschaft declared that they did not contest the grievance that had been notified to them and requested the benefit of the provisions of III of Article L. 464-2 of the Commercial Code;  </w:t>
        <w:br/>
        <w:t xml:space="preserve">Having regard to the observations presented by the companies Brenntag SA, Brenntag France Holding SAS, Brachem France Holding SAS, Brenntag Foreign Holding GmbH, Brenntag Beteiligungs GmbH, Brenntag Holding GmbH, Caldic Est SASU, Chemco France SARL, Deutsche Bahn AG, DB Mobility Logistics AG, E.ON AG, GEA Group Aktiengesellschaft, Solvadis France, Solvadis GmbH, Solvadis Holding SARL, Univar SAS, Univar France SNC, Univar France BV, Univar Europe Holdings BV, Univar NV, and the Government Commissioner;  </w:t>
        <w:br/>
        <w:t xml:space="preserve">Having regard to the report of the auditor advisor of February 13, 2013;  </w:t>
        <w:br/>
        <w:t xml:space="preserve">Having regard to the other documents in the file;  </w:t>
        <w:br/>
        <w:t xml:space="preserve">The rapporteurs, the deputy general rapporteur, the Government Commissioner, and the representatives of the companies Brenntag SA, Brenntag France Holding SAS, Brachem France Holding SAS, Brenntag Foreign Holding GmbH, Brenntag Beteiligungs GmbH, Brenntag Holding GmbH, Caldic Est SASU, Chemco France SARL, Deutsche Bahn AG, DB Mobility Logistics AG, GEA Group Aktiengesellschaft, Solvadis France, Solvadis GmbH, Solvadis Holding SARL, Univar SAS, Univar France SNC, Univar France BV, Univar Europe Holdings BV, Univar NV heard during the session of the Competition Authority on February 26, 2013;  </w:t>
        <w:br/>
        <w:t>Adopts the following decision:</w:t>
      </w:r>
    </w:p>
    <w:p>
      <w:r>
        <w:t xml:space="preserve">TABLE OF CONTENTS  </w:t>
        <w:br/>
        <w:t xml:space="preserve">I. Findings .................................................................................. 15  </w:t>
        <w:br/>
        <w:t xml:space="preserve">A. THE PROCEDURE ........................................................................................................................... 15  </w:t>
        <w:br/>
        <w:t xml:space="preserve">1. THE LENIENCY REQUESTS .......................................................................................... 15  </w:t>
        <w:br/>
        <w:t xml:space="preserve">a) The requests from Solvadis and Quaron ......................................................... 15  </w:t>
        <w:br/>
        <w:t xml:space="preserve">b) The request from BC Partners and its subsidiaries ................................................ 16  </w:t>
        <w:br/>
        <w:t xml:space="preserve">c) The request from Univar ....................................................................................... 17  </w:t>
        <w:br/>
        <w:t xml:space="preserve">2. THE EX OFFICIO INITIATION ......................................................................................................... 19  </w:t>
        <w:br/>
        <w:t xml:space="preserve">3. THE INSPECTION AND SEIZURE OPERATIONS .............................................................................. 19  </w:t>
        <w:br/>
        <w:t xml:space="preserve">4. THE JOINING AND THEN SEPARATING OF PROCEDURES ...................................................... 19  </w:t>
        <w:br/>
        <w:t xml:space="preserve">B. THE SECTOR OF ACTIVITY ......................................................................................................... 19  </w:t>
        <w:br/>
        <w:t xml:space="preserve">1. CHEMICAL COMMODITIES .......................................................................................... 19  </w:t>
        <w:br/>
        <w:t xml:space="preserve">2. THE DISTRIBUTION OF CHEMICAL COMMODITIES ............................................................ 20  </w:t>
        <w:br/>
        <w:t xml:space="preserve">a) The different modes of marketing chemical commodities .......................... 20  </w:t>
        <w:br/>
        <w:t xml:space="preserve">Direct sales by producers .................................................................................. 20  </w:t>
        <w:br/>
        <w:t xml:space="preserve">Sales by a distributor .......................................................................................... 20  </w:t>
        <w:br/>
        <w:t xml:space="preserve">Sales by a "trader" .............................................................................................. 21  </w:t>
        <w:br/>
        <w:t xml:space="preserve">b) The characteristics of the sale of chemical commodities by distributors .......... 21  </w:t>
        <w:br/>
        <w:t xml:space="preserve">The characteristics of demand .......................................................................... 21  </w:t>
        <w:br/>
        <w:t xml:space="preserve">The provision of specific services .................................................................... 21  </w:t>
        <w:br/>
        <w:t xml:space="preserve">A constraining regulatory context .................................................................... 21  </w:t>
        <w:br/>
        <w:t xml:space="preserve">C. THE COMPANIES INVOLVED .......................................................................................... 22  </w:t>
        <w:br/>
        <w:t xml:space="preserve">1. THE BRENNTAG GROUP ...................................................................................................... 23  </w:t>
        <w:br/>
        <w:t xml:space="preserve">2. THE UNIVAR GROUP ........................................................................................................... 23  </w:t>
        <w:br/>
        <w:t xml:space="preserve">3. THE SOLVADIS GROUP ....................................................................................................... 24  </w:t>
        <w:br/>
        <w:t xml:space="preserve">4. THE QUARON GROUP .......................................................................................................... 24  </w:t>
        <w:br/>
        <w:t xml:space="preserve">5. CALDIC EST ........................................................................................................................ 25  </w:t>
        <w:br/>
        <w:t xml:space="preserve">6. CHEMCO ................................................................................................................................ 25  </w:t>
        <w:br/>
        <w:t xml:space="preserve">D. THE PRACTICES IN QUESTION .............................................................................................. 25  </w:t>
        <w:br/>
        <w:t xml:space="preserve">1. A DIFFICULT CONTEXT .................................................................................................... 25  </w:t>
        <w:br/>
        <w:t xml:space="preserve">a) The economic and regulatory context ................................................................. 25  </w:t>
        <w:br/>
        <w:t xml:space="preserve">b) An exacerbated competitive context leading to degraded results .................. 26  </w:t>
        <w:br/>
        <w:t xml:space="preserve">Brenntag ................................................................................................................ 26  </w:t>
        <w:br/>
        <w:t>3</w:t>
      </w:r>
    </w:p>
    <w:p>
      <w:r>
        <w:rPr>
          <w:b/>
        </w:rPr>
        <w:t>[Pages 4–6]</w:t>
      </w:r>
    </w:p>
    <w:p>
      <w:r>
        <w:t xml:space="preserve">Univar .................................................................................................................. 27  </w:t>
        <w:br/>
        <w:t xml:space="preserve">Solvadis/Quaron ................................................................................................. 28  </w:t>
        <w:br/>
        <w:t xml:space="preserve">2. THE PURSUIT OF A COMMON PURPOSE IN THE PRACTICES IN QUESTION ACROSS THE DIFFERENT AREAS .............................................................................................................. 29  </w:t>
        <w:br/>
        <w:t xml:space="preserve">On the Burgundy area ....................................................................................... 29  </w:t>
        <w:br/>
        <w:t xml:space="preserve">On the Rhône-Alpes area .................................................................................. 29  </w:t>
        <w:br/>
        <w:t xml:space="preserve">On the western area ........................................................................................... 31  </w:t>
        <w:br/>
        <w:t xml:space="preserve">On the northern area .......................................................................................... 31  </w:t>
        <w:br/>
        <w:t xml:space="preserve">3. THE PRACTICES IMPLEMENTED BY BRENNTAG FROM ITS WATTRELOS SITE (59), DISTRICHIMIE FROM ITS HAUBOURDIN SITE (59), AND RPC-CLÉMENT (SOLVADIS) FROM ITS LOMME SITE (59) ........................................... 32  </w:t>
        <w:br/>
        <w:t xml:space="preserve">a) The origin of the practices ................................................................................ 32  </w:t>
        <w:br/>
        <w:t xml:space="preserve">b) The participants in the practices ...................................................................... 33  </w:t>
        <w:br/>
        <w:t xml:space="preserve">For Brenntag (reference 700, 06/0075 AC) ....................................................... 33  </w:t>
        <w:br/>
        <w:t xml:space="preserve">For Districhimie (Quaron) (references 34079 to 34081, and 35867 to 35869) .......... 33  </w:t>
        <w:br/>
        <w:t xml:space="preserve">For RPC-Clément (Solvadis) (reference 34086) .................................................. 34  </w:t>
        <w:br/>
        <w:t xml:space="preserve">c) The object of the practices ................................................................................ 34  </w:t>
        <w:br/>
        <w:t xml:space="preserve">On the client allocation practice ......................................................................... 34  </w:t>
        <w:br/>
        <w:t xml:space="preserve">The allocation of clients in the form of a non-aggression pact ......................... 34  </w:t>
        <w:br/>
        <w:t xml:space="preserve">The allocation of clients in the form of cover offers .......................................... 35  </w:t>
        <w:br/>
        <w:t xml:space="preserve">On price coordination ......................................................................................... 35  </w:t>
        <w:br/>
        <w:t xml:space="preserve">d) The products concerned by the practices .......................................................... 36  </w:t>
        <w:br/>
        <w:t xml:space="preserve">e) The clients concerned by the practices .............................................................. 36  </w:t>
        <w:br/>
        <w:t xml:space="preserve">f) The modalities for implementing the practices .................................................. 37  </w:t>
        <w:br/>
        <w:t xml:space="preserve">On the holding of regular meetings between Brenntag, Districhimie, and RPC Clément .................................................................................................................. 37  </w:t>
        <w:br/>
        <w:t xml:space="preserve">On the telephone calls between Brenntag, Districhimie, and RPC-Clément ........ 37  </w:t>
        <w:br/>
        <w:t xml:space="preserve">g) The monitoring of the practices ......................................................................... 38  </w:t>
        <w:br/>
        <w:t xml:space="preserve">h) The cessation of the practices ............................................................................ 39  </w:t>
        <w:br/>
        <w:t xml:space="preserve">4. THE PRACTICES IMPLEMENTED BY BRENNTAG FROM ITS CHASSIEU SITES (69), BY MARCE (BRENNTAG) FROM ITS ANDANCE SITE (07), BY LAMBERT-RIVIÈRE (UNIVAR) FROM ITS PIERRE BÉNITE SITE (69), BY VAISSIÈRE-FAVRE (UNIVAR) FROM ITS GENAY, LYON GERLAND, AND GENAS SITES (69), AND BY QUARRÉCHIM (UNIVAR) FROM ITS GENAS SITE (69) ......................................... 40  </w:t>
        <w:br/>
        <w:t xml:space="preserve">a) The origin of the practices ................................................................................ 40  </w:t>
        <w:br/>
        <w:t xml:space="preserve">For Brenntag: ...................................................................................................... 40  </w:t>
        <w:br/>
        <w:t xml:space="preserve">For Vaissière-Favre (Univar): ............................................................................. 40  </w:t>
        <w:br/>
        <w:t xml:space="preserve">For Lambert-Rivière (Univar): .......................................................................... 40  </w:t>
        <w:br/>
        <w:t xml:space="preserve">For Quarréchim (Univar): .................................................................................. 41  </w:t>
        <w:br/>
        <w:t xml:space="preserve">b) The participants in the practices ...................................................................... 42  </w:t>
        <w:br/>
        <w:t xml:space="preserve">For Brenntag ....................................................................................................... 42  </w:t>
        <w:br/>
        <w:t xml:space="preserve">For Lambert-Rivière (Univar) ............................................................................. 42  </w:t>
        <w:br/>
        <w:t xml:space="preserve">For Quarréchim (Univar) .................................................................................... 42  </w:t>
        <w:br/>
        <w:t xml:space="preserve">For Vaissière-Favre (Univar) ............................................................................. 42  </w:t>
        <w:br/>
        <w:t xml:space="preserve">For Univar ........................................................................................................... 42  </w:t>
        <w:br/>
        <w:t xml:space="preserve">For Marce ............................................................................................................ 43  </w:t>
        <w:br/>
        <w:t xml:space="preserve">c) The object of the practices ................................................................................ 43  </w:t>
        <w:br/>
        <w:t xml:space="preserve">The determination of common prices ................................................................. 43  </w:t>
        <w:br/>
        <w:t xml:space="preserve">Price coordination concerning solvents ............................................................ 43  </w:t>
        <w:br/>
        <w:t xml:space="preserve">Price coordination concerning inorganic chemistry .......................................... 44  </w:t>
        <w:br/>
        <w:t xml:space="preserve">Client allocation ................................................................................................... 45  </w:t>
        <w:br/>
        <w:t xml:space="preserve">Client allocation for solvents ............................................................................. 45  </w:t>
        <w:br/>
        <w:t xml:space="preserve">♦ Between 1998 and 2003 ................................................................................... 45  </w:t>
        <w:br/>
        <w:t xml:space="preserve">♦ Between 2003 and 2005 ................................................................................... 47  </w:t>
        <w:br/>
        <w:t xml:space="preserve">Client allocation for inorganic chemistry ............................................................ 47  </w:t>
        <w:br/>
        <w:t xml:space="preserve">♦ The document referenced 599, 06/0075 AC, relating to the client Dousselin (1999) .............................................................................................................................. 48  </w:t>
        <w:br/>
        <w:t xml:space="preserve">♦ The documents referenced 594 and 593, 06/0075 AC, relating to the client Labo Services (2000-2001) ........................................................................................... 48  </w:t>
        <w:br/>
        <w:t xml:space="preserve">♦ The document referenced 609 relating to the client DMC SA St Jean La Bussière (2001) ................................................................................................................... 49  </w:t>
        <w:br/>
        <w:t xml:space="preserve">♦ The documents referenced 596 and 598 relating to the client Labojal (2002) ...... 49  </w:t>
        <w:br/>
        <w:t xml:space="preserve">d) The products concerned by the practices .......................................................... 49  </w:t>
        <w:br/>
        <w:t xml:space="preserve">e) The clients concerned by the practices .............................................................. 50  </w:t>
        <w:br/>
        <w:t xml:space="preserve">f) The modalities for implementing the practices .................................................. 50  </w:t>
        <w:br/>
        <w:t xml:space="preserve">g) The monitoring of the practices ......................................................................... 51  </w:t>
        <w:br/>
        <w:t xml:space="preserve">h) The cessation of the practices ............................................................................ 52  </w:t>
        <w:br/>
        <w:t xml:space="preserve">5. THE PRACTICES IMPLEMENTED BY BRENNTAG FROM ITS TORCY SITE (71) AND BY CALDIC EST FROM ITS BRAZEY-EN-PLAINE SITE (21) .................................................. 53  </w:t>
        <w:br/>
        <w:t xml:space="preserve">a) The origin of the practices ................................................................................ 53  </w:t>
        <w:br/>
        <w:t xml:space="preserve">The initiative for the meeting of June 5, 1998, in Reims .................................. 53  </w:t>
        <w:br/>
        <w:t xml:space="preserve">The companies and individuals who participated in the meeting of June 5, 1998, in Reims ................................................................................................................... 53  </w:t>
        <w:br/>
        <w:t xml:space="preserve">The object of the meeting of June 5, 1998, in Reims ......................................... 54  </w:t>
        <w:br/>
        <w:t xml:space="preserve">b) The participants in the practices ...................................................................... 55  </w:t>
        <w:br/>
        <w:t xml:space="preserve">For Brenntag ....................................................................................................... 55  </w:t>
        <w:br/>
        <w:t xml:space="preserve">For Caldic Est ..................................................................................................... 55  </w:t>
        <w:br/>
        <w:t xml:space="preserve">c) The object of the practices ................................................................................ 55  </w:t>
        <w:br/>
        <w:t xml:space="preserve">The material elements relating to client allocation ............................................. 56  </w:t>
        <w:br/>
        <w:t xml:space="preserve">♦ The references 121 and 415, 06/0075 AC .......................................................... 56  </w:t>
        <w:br/>
        <w:t xml:space="preserve">♦ The references 124 and 412, 06/0075 AC .......................................................... 56  </w:t>
        <w:br/>
        <w:t xml:space="preserve">♦ The references 129 and 413, 06/0075 AC .......................................................... 57  </w:t>
        <w:br/>
        <w:t xml:space="preserve">♦ The references 381 and 382, 06/0075 AC .......................................................... 57  </w:t>
        <w:br/>
        <w:t xml:space="preserve">The elements relating to volume adjustments between Brenntag and Caldic Est .................................................................................................................... 57  </w:t>
        <w:br/>
        <w:t xml:space="preserve">♦ The references 361 and 362, 06/0075 AC .......................................................... 57  </w:t>
        <w:br/>
        <w:t xml:space="preserve">♦ The references 365 to 368, 06/0075 AC ............................................................ 58  </w:t>
        <w:br/>
        <w:t xml:space="preserve">d) The modalities for implementing the practices .................................................. 58  </w:t>
        <w:br/>
        <w:t xml:space="preserve">The consultation meetings between Brenntag and Caldic Est .......................... 58  </w:t>
        <w:br/>
        <w:t xml:space="preserve">The telephone calls and faxes between Brenntag and Caldic Est ...................... 59  </w:t>
        <w:br/>
        <w:t xml:space="preserve">Regarding Mr. Michel 20... ................................................................................ 60  </w:t>
        <w:br/>
        <w:t xml:space="preserve">Regarding Mr. David 21... .................................................................................. 61  </w:t>
        <w:br/>
        <w:t xml:space="preserve">e) The products concerned by the practices .......................................................... 61  </w:t>
        <w:br/>
        <w:t xml:space="preserve">f) The clients concerned by the practices .............................................................. 61  </w:t>
        <w:br/>
        <w:t xml:space="preserve">g) The monitoring of the practices ......................................................................... 63  </w:t>
        <w:br/>
        <w:t xml:space="preserve">♦ The reference 361, 06/0075 AC ......................................................................... 63  </w:t>
        <w:br/>
        <w:t xml:space="preserve">♦ The reference 362, 06/0075 AC ......................................................................... 64  </w:t>
        <w:br/>
        <w:t xml:space="preserve">♦ The reference 370, 06/0075 AC ......................................................................... 64  </w:t>
        <w:br/>
        <w:t xml:space="preserve">♦ The reference 386, 06/0075 AC ......................................................................... 64  </w:t>
        <w:br/>
        <w:t xml:space="preserve">h) The cessation of the practices ............................................................................ 64  </w:t>
        <w:br/>
        <w:t xml:space="preserve">6. THE PRACTICES IMPLEMENTED BY BRENNTAG (FROM ITS GREZ EN BOUERE - 53 AND SAINT HERBLAIN - 44 SITES), LANGLOIS-CHIMIE (SOLVADIS), FROM ITS RENNES -35 SITE AND LAMBERT-RIVIÈRE (UNIVAR) (FROM ITS CARQUEFOU -44 SITE) .................................................................................................................... 64  </w:t>
        <w:br/>
        <w:t xml:space="preserve">a) The origin of the practices ................................................................................ 65  </w:t>
        <w:br/>
        <w:t xml:space="preserve">b) The participants in the practices ...................................................................... 65  </w:t>
        <w:br/>
        <w:t xml:space="preserve">For Brenntag ....................................................................................................... 66  </w:t>
        <w:br/>
        <w:t xml:space="preserve">For Langlois Chimie (Solvadis) .......................................................................... 66  </w:t>
        <w:br/>
        <w:t xml:space="preserve">Lambert-Rivière (Univar) .................................................................................... 66  </w:t>
        <w:br/>
        <w:t xml:space="preserve">c) The object of the practices ................................................................................ 66  </w:t>
        <w:br/>
        <w:t>On the trilateral consultation concerning solvents ............................................. 67</w:t>
      </w:r>
    </w:p>
    <w:p>
      <w:r>
        <w:rPr>
          <w:b/>
        </w:rPr>
        <w:t>[Pages 7–9]</w:t>
      </w:r>
    </w:p>
    <w:p>
      <w:r>
        <w:t xml:space="preserve">Sur la concertation bilatérale concernant la chimie minérale ......................... 68  </w:t>
        <w:br/>
        <w:t xml:space="preserve">The bilateral consultation concerning mineral chemistry ......................... 68  </w:t>
        <w:br/>
        <w:t xml:space="preserve">La répartition des clients communs pour la chimie minérale ......................... 68  </w:t>
        <w:br/>
        <w:t xml:space="preserve">The distribution of common clients for mineral chemistry ......................... 68  </w:t>
        <w:br/>
        <w:t xml:space="preserve">La coordination tarifaire ................................................................................. 69  </w:t>
        <w:br/>
        <w:t xml:space="preserve">Price coordination ......................................................................................... 69  </w:t>
        <w:br/>
        <w:t xml:space="preserve">d) Les produits concernés par les pratiques ........................................................ 70  </w:t>
        <w:br/>
        <w:t xml:space="preserve">d) The products concerned by the practices .................................................... 70  </w:t>
        <w:br/>
        <w:t xml:space="preserve">e) Les clients concernés par les pratiques ............................................................ 70  </w:t>
        <w:br/>
        <w:t xml:space="preserve">e) The clients concerned by the practices ......................................................... 70  </w:t>
        <w:br/>
        <w:t xml:space="preserve">f) Les modalités de mise en œuvre des pratiques ................................................ 71  </w:t>
        <w:br/>
        <w:t xml:space="preserve">f) The modalities for implementing the practices ............................................ 71  </w:t>
        <w:br/>
        <w:t xml:space="preserve">g) La surveillance des pratiques ........................................................................... 73  </w:t>
        <w:br/>
        <w:t xml:space="preserve">g) The monitoring of the practices .................................................................... 73  </w:t>
        <w:br/>
        <w:t xml:space="preserve">h) La cessation des pratiques ................................................................................ 73  </w:t>
        <w:br/>
        <w:t xml:space="preserve">h) The cessation of the practices ....................................................................... 73  </w:t>
        <w:br/>
        <w:t xml:space="preserve">Sur la concertation trilatérale ......................................................................... 73  </w:t>
        <w:br/>
        <w:t xml:space="preserve">On the trilateral consultation .......................................................................... 73  </w:t>
        <w:br/>
        <w:t xml:space="preserve">Sur la concertation bilatérale .......................................................................... 74  </w:t>
        <w:br/>
        <w:t xml:space="preserve">On the bilateral consultation ........................................................................... 74  </w:t>
        <w:br/>
        <w:t xml:space="preserve">7. LES CARACTÉRISTIQUES COMMUNES AUX PRATIQUES .................................................... 75  </w:t>
        <w:br/>
        <w:t xml:space="preserve">7. THE COMMON CHARACTERISTICS OF THE PRACTICES .................................................. 75  </w:t>
        <w:br/>
        <w:t xml:space="preserve">a) Chacune des pratiques présente un objet identique ...................................... 75  </w:t>
        <w:br/>
        <w:t xml:space="preserve">a) Each of the practices has an identical purpose ............................................. 75  </w:t>
        <w:br/>
        <w:t xml:space="preserve">b) Les caractéristiques matérielles des pratiques ............................................... 75  </w:t>
        <w:br/>
        <w:t xml:space="preserve">b) The material characteristics of the practices ................................................ 75  </w:t>
        <w:br/>
        <w:t xml:space="preserve">Les caractéristiques des zones géographiques concernées par les pratiques ... 75  </w:t>
        <w:br/>
        <w:t xml:space="preserve">The characteristics of the geographical areas concerned by the practices ... 75  </w:t>
        <w:br/>
        <w:t xml:space="preserve">Les caractéristiques des entreprises concernées par les pratiques ................... 76  </w:t>
        <w:br/>
        <w:t xml:space="preserve">The characteristics of the companies concerned by the practices ................... 76  </w:t>
        <w:br/>
        <w:t xml:space="preserve">Le rôle pivot de Brenntag ................................................................................... 77  </w:t>
        <w:br/>
        <w:t xml:space="preserve">The pivotal role of Brenntag ............................................................................. 77  </w:t>
        <w:br/>
        <w:t xml:space="preserve">Certaines personnes physiques interviennent dans plusieurs zones  </w:t>
        <w:br/>
        <w:t xml:space="preserve">géographiques concernées par les pratiques ..................................................... 77  </w:t>
        <w:br/>
        <w:t xml:space="preserve">Certain individuals are involved in several geographical areas concerned by the practices .......................................................... 77  </w:t>
        <w:br/>
        <w:t xml:space="preserve">L’implication de l’ensemble des directions générales des groupes en  </w:t>
        <w:br/>
        <w:t xml:space="preserve">concertation ........................................................................................................ 78  </w:t>
        <w:br/>
        <w:t xml:space="preserve">The involvement of all the general management of the groups in consultation .................................................................................. 78  </w:t>
        <w:br/>
        <w:t xml:space="preserve">Les décisions de concertation ont été prises par les directeurs régionaux de  </w:t>
        <w:br/>
        <w:t xml:space="preserve">Brenntag et le siège de Brenntag en était parfaitement informé ..................... 78  </w:t>
        <w:br/>
        <w:t xml:space="preserve">The consultation decisions were made by the regional directors of Brenntag and the headquarters of Brenntag was fully informed of them ..................... 78  </w:t>
        <w:br/>
        <w:t xml:space="preserve">♦ Les décisions de concertation ont été prises par les directeurs régionaux de  </w:t>
        <w:br/>
        <w:t xml:space="preserve">Brenntag ............................................................................................................... 78  </w:t>
        <w:br/>
        <w:t xml:space="preserve">♦ The consultation decisions were made by the regional directors of Brenntag .................................................................................. 78  </w:t>
        <w:br/>
        <w:t xml:space="preserve">♦ Les directeurs régionaux de Brenntag ayant pris part aux réunions de  </w:t>
        <w:br/>
        <w:t xml:space="preserve">concertation et aux pratiques établies sont également membres du comité de  </w:t>
        <w:br/>
        <w:t xml:space="preserve">direction de Brenntag ........................................................................................... 79  </w:t>
        <w:br/>
        <w:t xml:space="preserve">♦ The regional directors of Brenntag who participated in the consultation meetings and the established practices are also members of the management committee of Brenntag .................................................. 79  </w:t>
        <w:br/>
        <w:t xml:space="preserve">♦ La présidence et la direction générale de Brenntag avait connaissance des  </w:t>
        <w:br/>
        <w:t xml:space="preserve">pratiques ............................................................................................................... 80  </w:t>
        <w:br/>
        <w:t xml:space="preserve">♦ The presidency and general management of Brenntag were aware of the practices .................................................................................. 80  </w:t>
        <w:br/>
        <w:t xml:space="preserve">La participation directe de la direction générale de Lambert-Rivière (Univar)  </w:t>
        <w:br/>
        <w:t xml:space="preserve">aux pratiques de concertation ......................................................................... 80  </w:t>
        <w:br/>
        <w:t xml:space="preserve">The direct participation of the general management of Lambert-Rivière (Univar) in the consultation practices .................................................. 80  </w:t>
        <w:br/>
        <w:t xml:space="preserve">La participation directe de la direction générale de Vaissière-Favre (Univar)  </w:t>
        <w:br/>
        <w:t xml:space="preserve">aux pratiques de concertation ......................................................................... 81  </w:t>
        <w:br/>
        <w:t xml:space="preserve">The direct participation of the general management of Vaissière-Favre (Univar) in the consultation practices .................................................. 81  </w:t>
        <w:br/>
        <w:t xml:space="preserve">La participation directe de la direction générale de Quarréchim (Univar) aux  </w:t>
        <w:br/>
        <w:t xml:space="preserve">pratiques de concertation ................................................................................ 81  </w:t>
        <w:br/>
        <w:t xml:space="preserve">The direct participation of the general management of Quarréchim (Univar) in the consultation practices .................................................. 81  </w:t>
        <w:br/>
        <w:t xml:space="preserve">La participation directe de la direction générale d’Univar aux pratiques de  </w:t>
        <w:br/>
        <w:t xml:space="preserve">concertation ..................................................................................................... 82  </w:t>
        <w:br/>
        <w:t xml:space="preserve">The direct participation of the general management of Univar in the consultation practices ................................................................. 82  </w:t>
        <w:br/>
        <w:t xml:space="preserve">♦ Le directeur général d’Univar était informé de l’existence des pratiques de  </w:t>
        <w:br/>
        <w:t xml:space="preserve">concertation .......................................................................................................... 82  </w:t>
        <w:br/>
        <w:t xml:space="preserve">♦ The general director of Univar was informed of the existence of the consultation practices ................................................................. 82  </w:t>
        <w:br/>
        <w:t xml:space="preserve">♦ La participation de la direction générale d’Univar aux réunions de concertation  </w:t>
        <w:br/>
        <w:t xml:space="preserve">.............................................................................................................................. 82  </w:t>
        <w:br/>
        <w:t xml:space="preserve">♦ The participation of the general management of Univar in the consultation meetings .............................................................................. 82  </w:t>
        <w:br/>
        <w:t xml:space="preserve">La participation directe de la direction générale de la société Marce jusqu’en  </w:t>
        <w:br/>
        <w:t xml:space="preserve">2001 (date du rachat de Brenntag) aux pratiques de concertation ................. 83  </w:t>
        <w:br/>
        <w:t xml:space="preserve">The direct participation of the general management of the company Marce until 2001 (date of the acquisition of Brenntag) in the consultation practices .......................................................... 83  </w:t>
        <w:br/>
        <w:t xml:space="preserve">La participation directe de la direction générale de Districhimie aux pratiques  </w:t>
        <w:br/>
        <w:t xml:space="preserve">de concertation ................................................................................................ 83  </w:t>
        <w:br/>
        <w:t xml:space="preserve">The direct participation of the general management of Districhimie in the consultation practices .......................................................... 83  </w:t>
        <w:br/>
        <w:t xml:space="preserve">La participation directe de la direction générale de RPC-Clément aux  </w:t>
        <w:br/>
        <w:t xml:space="preserve">pratiques de concertation ................................................................................ 83  </w:t>
        <w:br/>
        <w:t xml:space="preserve">The direct participation of the general management of RPC-Clément in the consultation practices .......................................................... 83  </w:t>
        <w:br/>
        <w:t xml:space="preserve">La participation directe de la direction générale de Langlois-Chimie  </w:t>
        <w:br/>
        <w:t xml:space="preserve">(Solvadis) aux pratiques de concertation ........................................................ 83  </w:t>
        <w:br/>
        <w:t xml:space="preserve">The direct participation of the general management of Langlois-Chimie (Solvadis) in the consultation practices ................................................. 83  </w:t>
        <w:br/>
        <w:t xml:space="preserve">La participation directe de la direction générale de Solvadis aux pratiques de  </w:t>
        <w:br/>
        <w:t xml:space="preserve">concertation ..................................................................................................... 83  </w:t>
        <w:br/>
        <w:t xml:space="preserve">The direct participation of the general management of Solvadis in the consultation practices ................................................................. 83  </w:t>
        <w:br/>
        <w:t xml:space="preserve">La participation de la direction générale de Caldic Est aux pratiques de  </w:t>
        <w:br/>
        <w:t xml:space="preserve">concertation ..................................................................................................... 84  </w:t>
        <w:br/>
        <w:t xml:space="preserve">The participation of the general management of Caldic Est in the consultation practices ................................................................. 84  </w:t>
        <w:br/>
        <w:t xml:space="preserve">Les pratiques concernent la distribution des commodités chimiques ............... 84  </w:t>
        <w:br/>
        <w:t xml:space="preserve">The practices concern the distribution of chemical commodities ............... 84  </w:t>
        <w:br/>
        <w:t xml:space="preserve">La nature et les modalités de fonctionnement des pratiques en cause ............. 85  </w:t>
        <w:br/>
        <w:t xml:space="preserve">The nature and modalities of operation of the practices in question ............. 85  </w:t>
        <w:br/>
        <w:t xml:space="preserve">Les pratiques observent une même chronologie et continuité .......................... 86  </w:t>
        <w:br/>
        <w:t xml:space="preserve">The practices follow the same chronology and continuity .............................. 86  </w:t>
        <w:br/>
        <w:t xml:space="preserve">8. LES PRATIQUES MISES EN ŒUVRE PAR BRENNTAG (À PARTIR DE SON SITE DE MAINE  </w:t>
        <w:br/>
        <w:t xml:space="preserve">BRETAGNE) ET CHEMCO ....................................................................................................... 87  </w:t>
        <w:br/>
        <w:t xml:space="preserve">8. THE PRACTICES IMPLEMENTED BY BRENNTAG (FROM ITS MAINE-BRETAGNE SITE) AND CHEMCO ....................................................................................................... 87  </w:t>
        <w:br/>
        <w:t xml:space="preserve">a) L’origine de la concertation ............................................................................. 87  </w:t>
        <w:br/>
        <w:t xml:space="preserve">a) The origin of the consultation ....................................................................... 87  </w:t>
        <w:br/>
        <w:t xml:space="preserve">b) L’objet de la concertation ................................................................................ 88  </w:t>
        <w:br/>
        <w:t xml:space="preserve">b) The purpose of the consultation ..................................................................... 88  </w:t>
        <w:br/>
        <w:t xml:space="preserve">c) La durée de la concertation .............................................................................. 91  </w:t>
        <w:br/>
        <w:t xml:space="preserve">c) The duration of the consultation ..................................................................... 91  </w:t>
        <w:br/>
        <w:t xml:space="preserve">E. RAPPEL DES GRIEFS .................................................................................................................. 91  </w:t>
        <w:br/>
        <w:t xml:space="preserve">E. RECALL OF THE COMPLAINTS ............................................................................................... 91  </w:t>
        <w:br/>
        <w:t xml:space="preserve">F. LA MISE EN ŒUVRE DU III DE L’ARTICLE L. 464-2 DU CODE DE COMMERCE ....... 93  </w:t>
        <w:br/>
        <w:t xml:space="preserve">F. THE IMPLEMENTATION OF III OF ARTICLE L. 464-2 OF THE COMMERCIAL CODE ....... 93  </w:t>
        <w:br/>
        <w:t xml:space="preserve">II. Discussion ..................................................................................... 94  </w:t>
        <w:br/>
        <w:t xml:space="preserve">II. Discussion ..................................................................................... 94  </w:t>
        <w:br/>
        <w:t xml:space="preserve">A. SUR L’APPLICABILITÉ DES RÈGLES DE CONCURRENCE DE L’UNION ..................... 94  </w:t>
        <w:br/>
        <w:t xml:space="preserve">A. ON THE APPLICABILITY OF THE UNION COMPETITION RULES .......................... 94  </w:t>
        <w:br/>
        <w:t xml:space="preserve">1. LES PRINCIPES APPLICABLES ............................................................................................ 94  </w:t>
        <w:br/>
        <w:t xml:space="preserve">1. THE APPLICABLE PRINCIPLES .................................................................................... 94  </w:t>
        <w:br/>
        <w:t xml:space="preserve">2. APPRÉCIATION DE L’AUTORITÉ ........................................................................................ 95  </w:t>
        <w:br/>
        <w:t xml:space="preserve">2. ASSESSMENT BY THE AUTHORITY ............................................................................. 95  </w:t>
        <w:br/>
        <w:t xml:space="preserve">a) En ce qui concerne le grief n° 1 ........................................................................ 95  </w:t>
        <w:br/>
        <w:t xml:space="preserve">a) Regarding complaint no. 1 ................................................................................ 95  </w:t>
        <w:br/>
        <w:t xml:space="preserve">b) En ce qui concerne le grief n° 2 ........................................................................ 96  </w:t>
        <w:br/>
        <w:t xml:space="preserve">b) Regarding complaint no. 2 ................................................................................ 96  </w:t>
        <w:br/>
        <w:t xml:space="preserve">B. SUR LA RÉGULARITÉ DE LA PROCÉDURE ......................................................................... 97  </w:t>
        <w:br/>
        <w:t xml:space="preserve">B. ON THE REGULARITY OF THE PROCEDURE ................................................................. 97  </w:t>
        <w:br/>
        <w:t xml:space="preserve">1. SUR LA NULLITÉ ALLÉGUÉE DU PROCÈS-VERBAL DE CLÉMENCE DE SOLVADIS POUR  </w:t>
        <w:br/>
        <w:t xml:space="preserve">DÉFAUT DE MANDAT ............................................................................................................... 97  </w:t>
        <w:br/>
        <w:t xml:space="preserve">1. ON THE ALLEGED NULLITY OF THE SOLVADIS LENIENCY REPORT DUE TO LACK OF MANDATE ............................................................................................................... 97  </w:t>
        <w:br/>
        <w:t xml:space="preserve">2. SUR L’INÉLIGIBILITÉ PRÉTENDUE DE SOLVADIS À L’IMMUNITÉ EN RAISON DE LA  </w:t>
        <w:br/>
        <w:t xml:space="preserve">RÉVÉLATION PAR CETTE DERNIÈRE DE SA DÉMARCHE À DES TIERS .................................. 97  </w:t>
        <w:br/>
        <w:t xml:space="preserve">2. ON THE ALLEGED INELIGIBILITY OF SOLVADIS FOR IMMUNITY DUE TO ITS DISCLOSURE OF ITS APPROACH TO THIRD PARTIES .......................................................... 97  </w:t>
        <w:br/>
        <w:t xml:space="preserve">3. SUR LA NULLITÉ ALLÉGUÉE DE L’AVIS DE CLÉMENCE DE SOLVADIS EN RAISON DE LA  </w:t>
        <w:br/>
        <w:t xml:space="preserve">VIOLATION DU PRINCIPE DE LOYAUTÉ DANS L’ADMINISTRATION DE LA PREUVE ............. 98  </w:t>
        <w:br/>
        <w:t xml:space="preserve">3. ON THE ALLEGED NULLITY OF THE SOLVADIS LENIENCY NOTICE DUE TO THE VIOLATION OF THE PRINCIPLE OF FAIRNESS IN THE ADMINISTRATION OF EVIDENCE ............. 98  </w:t>
        <w:br/>
        <w:t xml:space="preserve">4. SUR LES IRRÉGULARITÉS QUI AURAIENT ÉTÉ COMMISES AU COURS DE LA PROCÉDURE  </w:t>
        <w:br/>
        <w:t xml:space="preserve">D’INSTRUCTION ...................................................................................................................... 99  </w:t>
        <w:br/>
        <w:t xml:space="preserve">4. ON THE IRREGULARITIES THAT MAY HAVE OCCURRED DURING THE INSTRUCTION PROCEDURE ...................................................................................................................... 99  </w:t>
        <w:br/>
        <w:t xml:space="preserve">a) Sur l’irrégularité de la procédure reprochée en raison de la réception par  </w:t>
        <w:br/>
        <w:t xml:space="preserve">les rapporteurs de certaines déclarations ............................................................ 99  </w:t>
        <w:br/>
        <w:t xml:space="preserve">a) On the alleged irregularity of the procedure due to the receipt by the reporters of certain statements ............................................................ 99  </w:t>
        <w:br/>
        <w:t xml:space="preserve">b) Sur l’irrégularité de la procédure reprochée en raison de la violation des  </w:t>
        <w:br/>
        <w:t xml:space="preserve">principes de loyauté, des droits de la défense et du procès équitable ............... 99  </w:t>
        <w:br/>
        <w:t xml:space="preserve">b) On the alleged irregularity of the procedure due to the violation of the principles of fairness, the rights of the defense, and the right to a fair trial ............... 99  </w:t>
        <w:br/>
        <w:t xml:space="preserve">c) Sur la nullité de la procédure reprochée en raison du défaut d’impartialité  </w:t>
        <w:br/>
        <w:t xml:space="preserve">des services d’instruction, des inégalités de traitement dans l’appréciation de  </w:t>
        <w:br/>
        <w:t xml:space="preserve">la coopération des entreprises et de la violation du principe de confiance  </w:t>
        <w:br/>
        <w:t xml:space="preserve">légitime .................................................................................................................. 101  </w:t>
        <w:br/>
        <w:t xml:space="preserve">c) On the nullity of the alleged procedure due to the lack of impartiality of the investigation services, inequalities in the assessment of the cooperation of companies, and the violation of the principle of legitimate expectation .................................................................................................................. 101  </w:t>
        <w:br/>
        <w:t xml:space="preserve">5. SUR LES IRRÉGULARITÉS DE PROCÉDURE QUI AURAIENT ÉTÉ COMMISES AU COURS DE  </w:t>
        <w:br/>
        <w:t xml:space="preserve">LA SÉANCE ............................................................................................................................ 102  </w:t>
        <w:br/>
        <w:t xml:space="preserve">5. ON THE PROCEDURAL IRREGULARITIES THAT MAY HAVE OCCURRED DURING THE SESSION .......................................................................................................................... 102  </w:t>
        <w:br/>
        <w:t xml:space="preserve">C. SUR LE SECTEUR EN CAUSE .................................................................................................. 103  </w:t>
        <w:br/>
        <w:t xml:space="preserve">C. ON THE SECTOR IN QUESTION ........................................................................................ 103  </w:t>
        <w:br/>
        <w:t xml:space="preserve">1. LES PRINCIPES APPLICABLES .......................................................................................... 103  </w:t>
        <w:br/>
        <w:t xml:space="preserve">1. THE APPLICABLE PRINCIPLES .................................................................................... 103  </w:t>
        <w:br/>
        <w:t xml:space="preserve">2. APPRÉCIATION EN L’ESPÈCE ........................................................................................... 103  </w:t>
        <w:br/>
        <w:t xml:space="preserve">2. ASSESSMENT IN THE CASE ......................................................................................... 103  </w:t>
        <w:br/>
        <w:t xml:space="preserve">a) Sur le grief n° 1 ................................................................................................ 103  </w:t>
        <w:br/>
        <w:t xml:space="preserve">a) On complaint no. 1 .......................................................................................... 103  </w:t>
        <w:br/>
        <w:t xml:space="preserve">Sur l’activité en cause ....................................................................................... 103  </w:t>
        <w:br/>
        <w:t xml:space="preserve">On the activity in question ............................................................................... 103  </w:t>
        <w:br/>
        <w:t xml:space="preserve">Sur la dimension géographique ....................................................................... 104  </w:t>
        <w:br/>
        <w:t xml:space="preserve">On the geographical dimension ....................................................................... 104  </w:t>
        <w:br/>
        <w:t xml:space="preserve">b) Sur le grief n° 2 ................................................................................................ 104  </w:t>
        <w:br/>
        <w:t xml:space="preserve">b) On complaint no. 2 .......................................................................................... 104  </w:t>
        <w:br/>
        <w:t xml:space="preserve">D. SUR LE BIEN-FONDÉ DES GRIEFS ........................................................................................ 105  </w:t>
        <w:br/>
        <w:t xml:space="preserve">D. ON THE MERITS OF THE COMPLAINTS ........................................................................... 105  </w:t>
        <w:br/>
        <w:t xml:space="preserve">1. SUR LES CONSÉQUENCES DE LA MISE EN ŒUVRE DE LA PROCÉDURE DE  </w:t>
        <w:br/>
        <w:t xml:space="preserve">NON-CONTESTATION DES GRIEFS ........................................................................................ 105  </w:t>
        <w:br/>
        <w:t xml:space="preserve">1. ON THE CONSEQUENCES OF THE IMPLEMENTATION OF THE PROCEDURE FOR  </w:t>
        <w:br/>
        <w:t xml:space="preserve">UNCONTESTED COMPLAINTS ......................................................................................... 105  </w:t>
        <w:br/>
        <w:t xml:space="preserve">a) Rappel des principes ....................................................................................... 105  </w:t>
        <w:br/>
        <w:t xml:space="preserve">a) Reminder of the principles .............................................................................. 105  </w:t>
        <w:br/>
        <w:t xml:space="preserve">b) Application en l’espèce ................................................................................... 106  </w:t>
        <w:br/>
        <w:t xml:space="preserve">b) Application in this case .................................................................................. 106  </w:t>
        <w:br/>
        <w:t xml:space="preserve">2. SUR LE GRIEF N° 1 ............................................................................................................ 106  </w:t>
        <w:br/>
        <w:t xml:space="preserve">2. ON COMPLAINT NO. 1 ................................................................................................. 106  </w:t>
        <w:br/>
        <w:t xml:space="preserve">a) Sur l’existence d’une infraction unique, complexe et continue ................... 106  </w:t>
        <w:br/>
        <w:t xml:space="preserve">a) On the existence of a single, complex, and continuous offense .................. 106  </w:t>
        <w:br/>
        <w:t xml:space="preserve">Sur la nature des pratiques .............................................................................. 106  </w:t>
        <w:br/>
        <w:t xml:space="preserve">On the nature of the practices .......................................................................... 106  </w:t>
        <w:br/>
        <w:t xml:space="preserve">Rappel des principes ...................................................................................... 106  </w:t>
        <w:br/>
        <w:t xml:space="preserve">Reminder of the principles .............................................................................. 106  </w:t>
        <w:br/>
        <w:t xml:space="preserve">Arguments des parties ................................................................................... 109  </w:t>
        <w:br/>
        <w:t xml:space="preserve">Arguments of the parties .................................................................................. 109  </w:t>
        <w:br/>
        <w:t xml:space="preserve">Appréciation de l’Autorité ............................................................................. 111  </w:t>
        <w:br/>
        <w:t>Assessment by the Authority ......................................................................... 111</w:t>
      </w:r>
    </w:p>
    <w:p>
      <w:r>
        <w:rPr>
          <w:b/>
        </w:rPr>
        <w:t>[Pages 10–12]</w:t>
      </w:r>
    </w:p>
    <w:p>
      <w:r>
        <w:t xml:space="preserve">♦ On the existence of the infringement ........................................................................ 111  </w:t>
        <w:br/>
        <w:t xml:space="preserve">The agreement in the "northern zone" .......................................................................... 111  </w:t>
        <w:br/>
        <w:t xml:space="preserve">The agreement in the "Rhône-Alpes zone" ................................................................. 111  </w:t>
        <w:br/>
        <w:t xml:space="preserve">The agreement in the "Burgundy zone" ..................................................................... 112  </w:t>
        <w:br/>
        <w:t xml:space="preserve">The two agreements in the "western zone" ................................................................. 114  </w:t>
        <w:br/>
        <w:t xml:space="preserve">♦ On the context that led to the emergence of the "overall plan" ............................ 114  </w:t>
        <w:br/>
        <w:t xml:space="preserve">♦ On the existence of an overall plan aimed at a single objective ............................ 117  </w:t>
        <w:br/>
        <w:t xml:space="preserve">♦ On the links of similarity and complementarity between the practices .................... 118  </w:t>
        <w:br/>
        <w:t xml:space="preserve">On the participants in the infringement ...................................................................... 118  </w:t>
        <w:br/>
        <w:t xml:space="preserve">On the pivotal role of Brenntag SA .............................................................................. 118  </w:t>
        <w:br/>
        <w:t xml:space="preserve">On the chronology of the infringement ....................................................................... 120  </w:t>
        <w:br/>
        <w:t xml:space="preserve">On the sector targeted by the infringement ................................................................. 121  </w:t>
        <w:br/>
        <w:t xml:space="preserve">On the modalities for implementing the infringement ................................................ 121  </w:t>
        <w:br/>
        <w:t xml:space="preserve">On the involvement of the general management of the companies ............................ 122  </w:t>
        <w:br/>
        <w:t xml:space="preserve">On the object of the infringement ............................................................................... 125  </w:t>
        <w:br/>
        <w:t xml:space="preserve">Reminder of the principles .......................................................................................... 125  </w:t>
        <w:br/>
        <w:t xml:space="preserve">Appreciation of the Authority ..................................................................................... 125  </w:t>
        <w:br/>
        <w:t xml:space="preserve">♦ On customer allocations .......................................................................................... 126  </w:t>
        <w:br/>
        <w:t xml:space="preserve">♦ On the setting of common rates and price coordination .......................................... 126  </w:t>
        <w:br/>
        <w:t xml:space="preserve">On the duration and continuity of the infringement .................................................... 126  </w:t>
        <w:br/>
        <w:t xml:space="preserve">Reminder of the principles .......................................................................................... 126  </w:t>
        <w:br/>
        <w:t xml:space="preserve">Appreciation of the Authority ..................................................................................... 127  </w:t>
        <w:br/>
        <w:t xml:space="preserve">♦ On the starting point of the infringement ................................................................. 127  </w:t>
        <w:br/>
        <w:t xml:space="preserve">♦ On the end date of the infringement ......................................................................... 127  </w:t>
        <w:br/>
        <w:t xml:space="preserve">♦ Conclusion on the duration of the infringement ....................................................... 128  </w:t>
        <w:br/>
        <w:t xml:space="preserve">On the individual participation of the accused in the complex and continuous infringement .................................................................................................................. 128  </w:t>
        <w:br/>
        <w:t>On the proof of individual participation ..................................................................... 128</w:t>
      </w:r>
    </w:p>
    <w:p>
      <w:r>
        <w:t xml:space="preserve">♦ Reminder of the principles ....................................................................................... 128  </w:t>
        <w:br/>
        <w:t xml:space="preserve">♦ Arguments of the parties .......................................................................................... 129  </w:t>
        <w:br/>
        <w:t xml:space="preserve">♦ Appreciation of the Authority .................................................................................. 129  </w:t>
        <w:br/>
        <w:t xml:space="preserve">RPC Clément, Langlois-Chimie and Solvadis .............................................................. 129  </w:t>
        <w:br/>
        <w:t xml:space="preserve">Brenntag SA .................................................................................................................. 129  </w:t>
        <w:br/>
        <w:t xml:space="preserve">Lambert-Rivière and Quarréchim ................................................................................ 130  </w:t>
        <w:br/>
        <w:t xml:space="preserve">Vaissière-Favre .............................................................................................................. 130  </w:t>
        <w:br/>
        <w:t xml:space="preserve">Univar SAS .................................................................................................................... 130  </w:t>
        <w:br/>
        <w:t xml:space="preserve">Caldic Est ...................................................................................................................... 131  </w:t>
        <w:br/>
        <w:t xml:space="preserve">On the duration of individual participation of the companies involved ..................... 131  </w:t>
        <w:br/>
        <w:t xml:space="preserve">♦ Reminder of the principles ....................................................................................... 131  </w:t>
        <w:br/>
        <w:t xml:space="preserve">♦ Appreciation of the authority ................................................................................... 131  </w:t>
        <w:br/>
        <w:t xml:space="preserve">RPC Clément .................................................................................................................. 131  </w:t>
        <w:br/>
        <w:t xml:space="preserve">Solvadis .......................................................................................................................... 131  </w:t>
        <w:br/>
        <w:t xml:space="preserve">Brenntag SA .................................................................................................................. 131  </w:t>
        <w:br/>
        <w:t xml:space="preserve">Marce .................................................................................................................................. 132  </w:t>
        <w:br/>
        <w:t xml:space="preserve">Lambert-Rivière .............................................................................................................. 132  </w:t>
        <w:br/>
        <w:t xml:space="preserve">Vaissière-Favre ................................................................................................................ 132  </w:t>
        <w:br/>
        <w:t xml:space="preserve">Quarréchim ...................................................................................................................... 132  </w:t>
        <w:br/>
        <w:t xml:space="preserve">Univar SAS ...................................................................................................................... 132  </w:t>
        <w:br/>
        <w:t xml:space="preserve">Caldic Est ........................................................................................................................ 132  </w:t>
        <w:br/>
        <w:t xml:space="preserve">3. ON GRIEVANCE NO. 2 ........................................................................................................ 132  </w:t>
        <w:br/>
        <w:t xml:space="preserve">a) The anti-competitive object of the established practices ....................................... 133  </w:t>
        <w:br/>
        <w:t xml:space="preserve">b) On the participation of the companies involved ....................................................... 134  </w:t>
        <w:br/>
        <w:t xml:space="preserve">c) On the duration of the agreement ............................................................................. 135  </w:t>
        <w:br/>
        <w:t xml:space="preserve">E. ON THE ATTRIBUTION OF THE PRACTICES IN QUESTION ........................................... 135  </w:t>
        <w:br/>
        <w:t xml:space="preserve">1. REMINDER OF THE PRINCIPLES .................................................................................... 135  </w:t>
        <w:br/>
        <w:t xml:space="preserve">a) Attribution within a group of companies ................................................................. 136  </w:t>
        <w:br/>
        <w:t xml:space="preserve">b) Attribution in the case of restructurings, sales, mergers or others .................... 137  </w:t>
        <w:br/>
        <w:t xml:space="preserve">2. APPRECIATION IN THE CASE AT HAND ....................................................................... 138  </w:t>
        <w:br/>
        <w:t xml:space="preserve">a) On grievance no. 1 .................................................................................................... 138  </w:t>
        <w:br/>
        <w:t xml:space="preserve">On the attribution of grievances to Solvadis .............................................................. 138  </w:t>
        <w:br/>
        <w:t xml:space="preserve">On the evolution of the structure of the Solvadis group .......................................... 138  </w:t>
        <w:br/>
        <w:t xml:space="preserve">On the attribution of Solvadis' behavior ................................................................. 139  </w:t>
        <w:br/>
        <w:t xml:space="preserve">On the attribution of RPC Clément's behavior ......................................................... 139  </w:t>
        <w:br/>
        <w:t>11</w:t>
      </w:r>
    </w:p>
    <w:p>
      <w:r>
        <w:t xml:space="preserve">On the attribution of grievances to Brenntag ............................................................ 139  </w:t>
        <w:br/>
        <w:t xml:space="preserve">On the evolution of the structure of the Brenntag group ....................................... 139  </w:t>
        <w:br/>
        <w:t xml:space="preserve">On the attribution of Brenntag SA's practices to DB Mobility Logistics AG and Deutsche Bahn AG ........................................................................................................ 140  </w:t>
        <w:br/>
        <w:t xml:space="preserve">♦ On the attribution of Brenntag SA's practices to Deutsche Bahn AG .................. 140  </w:t>
        <w:br/>
        <w:t xml:space="preserve">♦ On the attribution of Brenntag SA's practices to DB Mobility Logistics .............. 140  </w:t>
        <w:br/>
        <w:t xml:space="preserve">♦ On the attribution of Brenntag SA's practices to Brenntag France Holding SAS, Brenntag Foreign Holding GmbH, Brenntag Beteiligungs GmbH and Brenntag Holding GmbH ........................................................................................................... 141  </w:t>
        <w:br/>
        <w:t xml:space="preserve">♦ On the attribution of the behaviors of the company Marce .................................... 142  </w:t>
        <w:br/>
        <w:t xml:space="preserve">On the attribution of grievances to Univar ................................................................. 142  </w:t>
        <w:br/>
        <w:t xml:space="preserve">On the evolution of the structure of the Univar group ........................................... 142  </w:t>
        <w:br/>
        <w:t xml:space="preserve">On the attribution of the behaviors of Lambert-Rivière, Quarréchim, Vaissière-Favre, and Univar SAS ................................................................................................. 142  </w:t>
        <w:br/>
        <w:t xml:space="preserve">On the attribution of grievances to Caldic Est .......................................................... 143  </w:t>
        <w:br/>
        <w:t xml:space="preserve">b) On grievance no. 2 .................................................................................................... 143  </w:t>
        <w:br/>
        <w:t xml:space="preserve">On the attribution of the grievance to the Brenntag group ...................................... 143  </w:t>
        <w:br/>
        <w:t xml:space="preserve">On the attribution of the grievance to Chemco ......................................................... 143  </w:t>
        <w:br/>
        <w:t xml:space="preserve">F. ON THE SANCTIONS ........................................................................................................... 144  </w:t>
        <w:br/>
        <w:t xml:space="preserve">1. ON THE SANCTIONS IMPOSED FOR GRIEVANCE NO. 1 ................................................ 145  </w:t>
        <w:br/>
        <w:t xml:space="preserve">a) On the value of sales ................................................................................................. 145  </w:t>
        <w:br/>
        <w:t xml:space="preserve">b) On the determination of the base amount .............................................................. 148  </w:t>
        <w:br/>
        <w:t xml:space="preserve">On the proportion of the value of sales ...................................................................... 148  </w:t>
        <w:br/>
        <w:t xml:space="preserve">On the seriousness of the facts .................................................................................. 148  </w:t>
        <w:br/>
        <w:t xml:space="preserve">On the importance of the damage caused to the economy .................................... 150  </w:t>
        <w:br/>
        <w:t xml:space="preserve">♦ On the extent of the practice .................................................................................... 151  </w:t>
        <w:br/>
        <w:t xml:space="preserve">♦ On the objective economic characteristics of the sector concerned ..................... 151  </w:t>
        <w:br/>
        <w:t xml:space="preserve">♦ On the conjunctural and structural consequences of the practice ......................... 152  </w:t>
        <w:br/>
        <w:t xml:space="preserve">Conclusion on the proportion of the value of sales ................................................ 153  </w:t>
        <w:br/>
        <w:t xml:space="preserve">On the duration of participation .................................................................................. 153  </w:t>
        <w:br/>
        <w:t xml:space="preserve">Conclusion on the determination of the base amount ............................................. 155  </w:t>
        <w:br/>
        <w:t xml:space="preserve">c) On the consideration of circumstances specific to each company ....................... 155  </w:t>
        <w:br/>
        <w:t xml:space="preserve">Regarding Brenntag ...................................................................................................... 155  </w:t>
        <w:br/>
        <w:t xml:space="preserve">On the role played in the agreement ......................................................................... 155  </w:t>
        <w:br/>
        <w:t xml:space="preserve">On the economic power of Brenntag and the group to which it belongs ............... 156  </w:t>
        <w:br/>
        <w:t>Regarding Univar .......................................................................................................... 157</w:t>
      </w:r>
    </w:p>
    <w:p>
      <w:r>
        <w:rPr>
          <w:b/>
        </w:rPr>
        <w:t>[Pages 13–15]</w:t>
      </w:r>
    </w:p>
    <w:p>
      <w:r>
        <w:t xml:space="preserve">En ce qui concerne Caldic Est ......................................................................... 158  </w:t>
        <w:br/>
        <w:t xml:space="preserve">In relation to Caldic Est .................................................................................. 158  </w:t>
        <w:br/>
        <w:t xml:space="preserve">En ce qui concerne Solvadis ............................................................................ 158  </w:t>
        <w:br/>
        <w:t xml:space="preserve">In relation to Solvadis .................................................................................... 158  </w:t>
        <w:br/>
        <w:t xml:space="preserve">Sur la vérification du maximum applicable .................................................... 159  </w:t>
        <w:br/>
        <w:t xml:space="preserve">On the verification of the applicable maximum ............................................. 159  </w:t>
        <w:br/>
        <w:t xml:space="preserve">Conclusion ........................................................................................................ 160  </w:t>
        <w:br/>
        <w:t xml:space="preserve">Conclusion ........................................................................................................ 160  </w:t>
        <w:br/>
        <w:t xml:space="preserve">d) Sur l’application du IV de l’article L. 464-2 du code de commerce ........... 160  </w:t>
        <w:br/>
        <w:t xml:space="preserve">d) On the application of IV of Article L. 464-2 of the Commercial Code ........ 160  </w:t>
        <w:br/>
        <w:t xml:space="preserve">En ce qui concerne Solvadis ............................................................................ 160  </w:t>
        <w:br/>
        <w:t xml:space="preserve">In relation to Solvadis .................................................................................... 160  </w:t>
        <w:br/>
        <w:t xml:space="preserve">En ce qui concerne Brenntag ........................................................................... 161  </w:t>
        <w:br/>
        <w:t xml:space="preserve">In relation to Brenntag .................................................................................. 161  </w:t>
        <w:br/>
        <w:t xml:space="preserve">En ce qui concerne Univar ............................................................................... 165  </w:t>
        <w:br/>
        <w:t xml:space="preserve">In relation to Univar ....................................................................................... 165  </w:t>
        <w:br/>
        <w:t xml:space="preserve">En ce qui concerne GEA et DBML, anciennes sociétés mères de Solvadis et de  </w:t>
        <w:br/>
        <w:t xml:space="preserve">Brenntag ............................................................................................................ 166  </w:t>
        <w:br/>
        <w:t xml:space="preserve">In relation to GEA and DBML, former parent companies of Solvadis and Brenntag ............................................................................................................ 166  </w:t>
        <w:br/>
        <w:t xml:space="preserve">e) Sur la mise en œuvre du III de l’article L. 464-2 du code de commerce .... 168  </w:t>
        <w:br/>
        <w:t xml:space="preserve">e) On the implementation of III of Article L. 464-2 of the Commercial Code .... 168  </w:t>
        <w:br/>
        <w:t xml:space="preserve">Sur la mise en œuvre conjuguée des procédures de clémence et de non-  </w:t>
        <w:br/>
        <w:t xml:space="preserve">contestation des griefs ...................................................................................... 168  </w:t>
        <w:br/>
        <w:t xml:space="preserve">On the combined implementation of the leniency and no-contest procedures ...................................................................................................................... 168  </w:t>
        <w:br/>
        <w:t xml:space="preserve">Sur les demandes de mise en œuvre de la procédure de non-contestation des  </w:t>
        <w:br/>
        <w:t xml:space="preserve">griefs présentées par Caldic Est et GEA .......................................................... 170  </w:t>
        <w:br/>
        <w:t xml:space="preserve">On the requests for the implementation of the no-contest procedure submitted by Caldic Est and GEA .............................................................................. 170  </w:t>
        <w:br/>
        <w:t xml:space="preserve">En ce qui concerne Caldic Est ....................................................................... 170  </w:t>
        <w:br/>
        <w:t xml:space="preserve">In relation to Caldic Est .................................................................................. 170  </w:t>
        <w:br/>
        <w:t xml:space="preserve">En ce qui concerne GEA ................................................................................ 171  </w:t>
        <w:br/>
        <w:t xml:space="preserve">In relation to GEA ........................................................................................... 171  </w:t>
        <w:br/>
        <w:t xml:space="preserve">f) Sur la sanction imposée à DBML en sa qualité de société mère de Brenntag  </w:t>
        <w:br/>
        <w:t xml:space="preserve">au moment des pratiques .................................................................................... 171  </w:t>
        <w:br/>
        <w:t xml:space="preserve">f) On the sanction imposed on DBML as the parent company of Brenntag at the time of the practices .................................................................................... 171  </w:t>
        <w:br/>
        <w:t xml:space="preserve">g) Sur la sanction imposée à GEA en qualité de société mère au moment des  </w:t>
        <w:br/>
        <w:t xml:space="preserve">pratiques ............................................................................................................... 172  </w:t>
        <w:br/>
        <w:t xml:space="preserve">g) On the sanction imposed on GEA as the parent company at the time of the practices ............................................................................................................... 172  </w:t>
        <w:br/>
        <w:t xml:space="preserve">h) Sur le montant final des sanctions imposées au titre du grief n° 1 ............. 172  </w:t>
        <w:br/>
        <w:t xml:space="preserve">h) On the final amount of sanctions imposed for complaint no. 1 .................. 172  </w:t>
        <w:br/>
        <w:t xml:space="preserve">2. SUR LES SANCTIONS IMPOSÉES AU TITRE DU GRIEF N° 2 ............................................... 173  </w:t>
        <w:br/>
        <w:t xml:space="preserve">2. ON THE SANCTIONS IMPOSED FOR COMPLAINT NO. 2 ............................................... 173  </w:t>
        <w:br/>
        <w:t xml:space="preserve">a) Sur la valeur des ventes .................................................................................. 173  </w:t>
        <w:br/>
        <w:t xml:space="preserve">a) On the value of sales .................................................................................... 173  </w:t>
        <w:br/>
        <w:t xml:space="preserve">b) Sur la détermination du montant de base ..................................................... 174  </w:t>
        <w:br/>
        <w:t xml:space="preserve">b) On the determination of the base amount .................................................... 174  </w:t>
        <w:br/>
        <w:t xml:space="preserve">Sur la proportion de la valeur des ventes ......................................................... 174  </w:t>
        <w:br/>
        <w:t xml:space="preserve">On the proportion of the value of sales ............................................................ 174  </w:t>
        <w:br/>
        <w:t xml:space="preserve">Sur la gravité des faits ................................................................................... 174  </w:t>
        <w:br/>
        <w:t xml:space="preserve">On the severity of the facts ............................................................................. 174  </w:t>
        <w:br/>
        <w:t xml:space="preserve">Sur l’importance du dommage causé à l’économie ...................................... 174  </w:t>
        <w:br/>
        <w:t xml:space="preserve">On the importance of the damage caused to the economy .......................... 174  </w:t>
        <w:br/>
        <w:t xml:space="preserve">Conclusion sur la proportion de la valeur des ventes ................................... 176  </w:t>
        <w:br/>
        <w:t xml:space="preserve">Conclusion on the proportion of the value of sales ....................................... 176  </w:t>
        <w:br/>
        <w:t xml:space="preserve">Sur la durée de participation ............................................................................ 176  </w:t>
        <w:br/>
        <w:t xml:space="preserve">On the duration of participation ...................................................................... 176  </w:t>
        <w:br/>
        <w:t xml:space="preserve">Conclusion sur la détermination du montant de base ..................................... 177  </w:t>
        <w:br/>
        <w:t xml:space="preserve">Conclusion on the determination of the base amount ..................................... 177  </w:t>
        <w:br/>
        <w:t xml:space="preserve">c) Sur la prise en compte des circonstances propres à chaque entreprise...... 177  </w:t>
        <w:br/>
        <w:t xml:space="preserve">c) On taking into account the circumstances specific to each company ...... 177  </w:t>
        <w:br/>
        <w:t xml:space="preserve">En ce qui concerne Brenntag ........................................................................... 177  </w:t>
        <w:br/>
        <w:t xml:space="preserve">In relation to Brenntag .................................................................................... 177  </w:t>
        <w:br/>
        <w:t xml:space="preserve">Sur le rôle particulier de Brenntag................................................................ 177  </w:t>
        <w:br/>
        <w:t xml:space="preserve">On the particular role of Brenntag .................................................................. 177  </w:t>
        <w:br/>
        <w:t xml:space="preserve">Sur la taille, la puissance économique et les ressources globales de Brenntag  </w:t>
        <w:br/>
        <w:t xml:space="preserve">....................................................................................................................... 177  </w:t>
        <w:br/>
        <w:t xml:space="preserve">On the size, economic power, and overall resources of Brenntag ............... 177  </w:t>
        <w:br/>
        <w:t xml:space="preserve">En ce qui concerne Chemco ............................................................................. 178  </w:t>
        <w:br/>
        <w:t xml:space="preserve">In relation to Chemco ...................................................................................... 178  </w:t>
        <w:br/>
        <w:t xml:space="preserve">Sur la vérification du maximum applicable .................................................... 178  </w:t>
        <w:br/>
        <w:t xml:space="preserve">On the verification of the applicable maximum ............................................. 178  </w:t>
        <w:br/>
        <w:t xml:space="preserve">d) Sur l’application du IV de l’article L. 464-2 du code de commerce ........... 178  </w:t>
        <w:br/>
        <w:t xml:space="preserve">d) On the application of IV of Article L. 464-2 of the Commercial Code ........ 178  </w:t>
        <w:br/>
        <w:t xml:space="preserve">e) Sur la sanction imposée à DBML en sa qualité de société mère de Brenntag  </w:t>
        <w:br/>
        <w:t xml:space="preserve">au moment des pratiques .................................................................................... 179  </w:t>
        <w:br/>
        <w:t xml:space="preserve">e) On the sanction imposed on DBML as the parent company of Brenntag at the time of the practices .................................................................................... 179  </w:t>
        <w:br/>
        <w:t xml:space="preserve">f) Sur la capacité contributive de Chemco ........................................................ 180  </w:t>
        <w:br/>
        <w:t xml:space="preserve">f) On the contributory capacity of Chemco ....................................................... 180  </w:t>
        <w:br/>
        <w:t xml:space="preserve">g) Sur le montant final des sanctions imposées au titre du grief n° 2 ............. 180  </w:t>
        <w:br/>
        <w:t xml:space="preserve">g) On the final amount of sanctions imposed for complaint no. 2 .................. 180  </w:t>
        <w:br/>
        <w:t xml:space="preserve">G. SUR L’OBLIGATION DE PUBLICATION .............................................................................. 180  </w:t>
        <w:br/>
        <w:t xml:space="preserve">G. ON THE OBLIGATION TO PUBLISH ................................................................................ 180  </w:t>
        <w:br/>
        <w:t xml:space="preserve">DÉCISION ....................................................................................................................... 185  </w:t>
        <w:br/>
        <w:t xml:space="preserve">DECISION ....................................................................................................................... 185  </w:t>
        <w:br/>
        <w:t xml:space="preserve">I. Constatations  </w:t>
        <w:br/>
        <w:t xml:space="preserve">I. Findings  </w:t>
        <w:br/>
        <w:t xml:space="preserve">A. LA PROCÉDURE  </w:t>
        <w:br/>
        <w:t xml:space="preserve">A. THE PROCEDURE  </w:t>
        <w:br/>
        <w:t xml:space="preserve">1. La présente affaire a été portée à la connaissance du Conseil de la concurrence (ci-après le  </w:t>
        <w:br/>
        <w:t xml:space="preserve">« Conseil ») par quatre distributeurs de commodités chimiques opérant sur le territoire  </w:t>
        <w:br/>
        <w:t xml:space="preserve">français, qui ont successivement sollicité le bénéfice de la procédure de clémence sur le  </w:t>
        <w:br/>
        <w:t xml:space="preserve">fondement du IV de l’article L. 464-2 du code de commerce.  </w:t>
        <w:br/>
        <w:t xml:space="preserve">1. This case was brought to the attention of the Competition Council (hereinafter the "Council") by four distributors of chemical commodities operating in French territory, who successively requested the benefit of the leniency procedure based on IV of Article L. 464-2 of the Commercial Code.  </w:t>
        <w:br/>
        <w:t xml:space="preserve">2. Ces demandes de clémence lui ont été présentées aux dates et dans l’ordre suivants :  </w:t>
        <w:br/>
        <w:t xml:space="preserve">2. These leniency requests were presented to it on the following dates and in the following order:  </w:t>
        <w:br/>
        <w:t xml:space="preserve">- le 20 septembre 2006, par les sociétés Solvadis France (ci-après « Solvadis ») et  </w:t>
        <w:br/>
        <w:t xml:space="preserve">Quaron SA (ci-après « Quaron »), repreneur de l’activité de Solvadis en  </w:t>
        <w:br/>
        <w:t xml:space="preserve">octobre 2005 ;  </w:t>
        <w:br/>
        <w:t xml:space="preserve">- on September 20, 2006, by Solvadis France (hereinafter "Solvadis") and Quaron SA (hereinafter "Quaron"), purchaser of Solvadis' activity in October 2005;  </w:t>
        <w:br/>
        <w:t xml:space="preserve">- le 20 septembre 2006, par Solvadis ;  </w:t>
        <w:br/>
        <w:t xml:space="preserve">- on September 20, 2006, by Solvadis;  </w:t>
        <w:br/>
        <w:t xml:space="preserve">- le 26 octobre 2006, par la société BC Partners et ses filiales, en particulier Brenntag  </w:t>
        <w:br/>
        <w:t xml:space="preserve">Holding GmbH et Brenntag SA (ci-après, s’agissant de Brenntag SA, « Brenntag »  </w:t>
        <w:br/>
        <w:t xml:space="preserve">ou « Brenntag SA ») ;  </w:t>
        <w:br/>
        <w:t xml:space="preserve">- on October 26, 2006, by BC Partners and its subsidiaries, in particular Brenntag Holding GmbH and Brenntag SA (hereinafter, regarding Brenntag SA, "Brenntag" or "Brenntag SA");  </w:t>
        <w:br/>
        <w:t xml:space="preserve">- le 13 décembre 2006, par la société Univar SAS (ci-après « Univar » ou « Univar  </w:t>
        <w:br/>
        <w:t xml:space="preserve">SAS »).  </w:t>
        <w:br/>
        <w:t xml:space="preserve">- on December 13, 2006, by Univar SAS (hereinafter "Univar" or "Univar SAS").  </w:t>
        <w:br/>
        <w:t xml:space="preserve">1. LES DEMANDES DE CLÉMENCE  </w:t>
        <w:br/>
        <w:t xml:space="preserve">1. THE LENIENCY REQUESTS  </w:t>
        <w:br/>
        <w:t xml:space="preserve">a) Les demandes de Solvadis et de Quaron  </w:t>
        <w:br/>
        <w:t xml:space="preserve">a) The requests from Solvadis and Quaron  </w:t>
        <w:br/>
        <w:t xml:space="preserve">3. Par procès-verbal du 20 septembre 2006, le rapporteur général du Conseil a reçu une  </w:t>
        <w:br/>
        <w:t xml:space="preserve">demande de clémence présentée au bénéfice de Solvadis et Quaron, lesquelles souhaitaient  </w:t>
        <w:br/>
        <w:t xml:space="preserve">porter à sa connaissance des informations établissant l’existence en France de pratiques  </w:t>
        <w:br/>
        <w:t xml:space="preserve">prohibées par les articles L. 420-1 du code de commerce et 81 du TCE (devenu 101 du  </w:t>
        <w:br/>
        <w:t xml:space="preserve">TFUE) et impliquant également Brenntag et Univar dans le secteur de la distribution des  </w:t>
        <w:br/>
        <w:t xml:space="preserve">commodités chimiques, sur la région du grand ouest (cote 2, 06/0064 AC).  </w:t>
        <w:br/>
        <w:t xml:space="preserve">3. By minutes of September 20, 2006, the general rapporteur of the Council received a leniency request presented for the benefit of Solvadis and Quaron, who wished to bring to its attention information establishing the existence in France of practices prohibited by Articles L. 420-1 of the Commercial Code and 81 of the TCE (now 101 of the TFEU) and also involving Brenntag and Univar in the sector of chemical commodity distribution, in the greater western region (reference 2, 06/0064 AC).  </w:t>
        <w:br/>
        <w:t xml:space="preserve">Les documents versés par Solvadis (cotes 4 à 7, puis 12 à 104, 106 à 108, 110 à 117 et 244 à 290, 06/0064  </w:t>
        <w:br/>
        <w:t xml:space="preserve">AC, notamment) ont complété sa déclaration, en précisant le champ géographique des  </w:t>
        <w:br/>
        <w:t xml:space="preserve">pratiques dénoncées et en impliquant d’autres entreprises dans leur commission. Les  </w:t>
        <w:br/>
        <w:t xml:space="preserve">pratiques décrites concernent principalement des répartitions de marchés, de clientèle et de  </w:t>
        <w:br/>
        <w:t xml:space="preserve">lignes de produits, des hausses tarifaires concertées et des échanges d’informations. Elles  </w:t>
        <w:br/>
        <w:t xml:space="preserve">se seraient déroulées entre 1999 et 2005 sur les grandes régions ouest, Rhône-Alpes, et  </w:t>
        <w:br/>
        <w:t xml:space="preserve">nord. Il était fait état de réunions hebdomadaires puis trimestrielles entre les dirigeants et  </w:t>
        <w:br/>
        <w:t xml:space="preserve">lors de nombreux contacts téléphoniques entre ceux-ci.  </w:t>
        <w:br/>
        <w:t xml:space="preserve">The documents submitted by Solvadis (references 4 to 7, then 12 to 104, 106 to 108, 110 to 117, and 244 to 290, 06/0064 AC, in particular) supplemented its statement, specifying the geographical scope of the reported practices and involving other companies in their commission. The described practices mainly concern market, customer, and product line allocations, concerted price increases, and information exchanges. They allegedly took place between 1999 and 2005 in the major western regions, Rhône-Alpes, and north. Weekly then quarterly meetings between the leaders and numerous telephone contacts between them were reported.  </w:t>
        <w:br/>
        <w:t xml:space="preserve">4. Le 7 février 2007, le Conseil a rendu l’avis n° 07-A-01 accordant à Solvadis et Quaron le  </w:t>
        <w:br/>
        <w:t xml:space="preserve">bénéfice conditionnel de la clémence avec une exonération totale des sanctions encourues  </w:t>
        <w:br/>
        <w:t xml:space="preserve">pour les pratiques dénoncées (cotes 412 à 415, 06/0064 AC). En effet, lors de la réception  </w:t>
        <w:br/>
        <w:t xml:space="preserve">de la demande de clémence de Solvadis et Quaron, le Conseil ne disposait pas  </w:t>
        <w:br/>
        <w:t xml:space="preserve">d’informations relatives aux pratiques dénoncées. En outre, il a considéré que les éléments  </w:t>
        <w:br/>
        <w:t xml:space="preserve">communiqués par les demandeurs de clémence lui permettaient de procéder ou faire  </w:t>
        <w:br/>
        <w:t>4. On February 7, 2007, the Council issued opinion no. 07-A-01 granting Solvadis and Quaron conditional leniency with a total exemption from the sanctions incurred for the reported practices (references 412 to 415, 06/0064 AC). Indeed, at the time of receiving the leniency request from Solvadis and Quaron, the Council did not have information regarding the reported practices. Furthermore, it considered that the elements communicated by the leniency applicants allowed it to proceed or make</w:t>
      </w:r>
    </w:p>
    <w:p>
      <w:r>
        <w:rPr>
          <w:b/>
        </w:rPr>
        <w:t>[Pages 16–18]</w:t>
      </w:r>
    </w:p>
    <w:p>
      <w:r>
        <w:t>15, 06/0064 AC). Indeed, upon receiving the leniency request from Solvadis and Quaron, the Council did not have information regarding the alleged practices. Furthermore, it considered that the elements communicated by the leniency applicants allowed it to proceed or carry out</w:t>
      </w:r>
    </w:p>
    <w:p>
      <w:r>
        <w:t xml:space="preserve">to conduct inspection and seizure operations, in accordance with Article L. 450-4 of the Commercial Code.  </w:t>
        <w:br/>
        <w:t xml:space="preserve">5. The benefit of this exemption was subject to the following conditions:  </w:t>
        <w:br/>
        <w:t xml:space="preserve">- "the relevance of the elements provided by Solvadis and Quaron must be verified by the investigations; these elements must contribute to establishing the reality of the alleged practices, presented as anti-competitive, and to identifying the authors;  </w:t>
        <w:br/>
        <w:t xml:space="preserve">- Solvadis and Quaron must provide the Competition Council and the investigation services of the Minister of Economy with total, permanent, and prompt cooperation throughout the investigation and potential instruction procedure and provide them with any evidence that comes into their possession or that they have regarding the suspected infringements, in the event that the Council decides to take up the alleged practices; in any case, Solvadis and Quaron must keep the Competition Council informed of the progress and results of any leniency procedures initiated before other competition authorities, as well as the progress and results of the proceedings initiated on the merits, if applicable, by these authorities regarding the alleged practices;  </w:t>
        <w:br/>
        <w:t xml:space="preserve">- Solvadis and Quaron must immediately cease any participation in the alleged illegal activities;  </w:t>
        <w:br/>
        <w:t xml:space="preserve">- Solvadis and Quaron must not have taken measures to coerce other companies into participating in the infringement;  </w:t>
        <w:br/>
        <w:t xml:space="preserve">- Solvadis and Quaron must not have informed other companies that could be implicated of the leniency approach they undertook nor of the procedure initiated following their request, nor finally of the existence or content of this notice" (reference 415, 06/0064 AC).  </w:t>
        <w:br/>
        <w:t xml:space="preserve">6. The second request from Solvadis, which was the subject of notice No. 07-A-02, denounced practices of collusion on the pricing of deposits and technical fees, which were not established.  </w:t>
        <w:br/>
        <w:t xml:space="preserve">b) The request from BC Partners and its subsidiaries  </w:t>
        <w:br/>
        <w:t xml:space="preserve">7. By minutes of October 26, 2006, the General Rapporteur of the Council received a leniency request presented on behalf of BC Partners and its subsidiaries, particularly Brenntag Holding GmbH and Brenntag, wishing to bring to its attention information establishing the existence of practices prohibited by Articles L. 420-1 of the Commercial Code and 81 of the TCE (now 101 of the TFEU) and involving, in addition to Brenntag, the companies Quaron, Solvadis, Univar, Caldic, Platret, Beauseigneur, and La Gloriette in the sector of chemical commodity distribution in France (reference 2, 06/0075 AC). The enumeration of the involved companies, the targeted practices, as well as the concerned territories was modified and/or supplemented by Brenntag during its statements and subsequent submissions.  </w:t>
        <w:br/>
        <w:t xml:space="preserve">8. According to the applicant, the practices consisted of horizontal agreements concerning:  </w:t>
        <w:br/>
        <w:t xml:space="preserve">- a general agreement on the pricing of deposits and technical fees;  </w:t>
        <w:br/>
        <w:t xml:space="preserve">- regional or local agreements for the allocation of clients and markets, and on the level of prices when contracts were awarded by users of chemical commodities, particularly through cover offers and exchanges of information prior to the submission of bids. In this regard, Brenntag would have gathered indications on what it calls the northern zones (Ile de France, Picardie, Lorraine, Ardennes), the central-west zone (Maine et Loire, Loire, Brittany, Normandy, and Val de Loire), the large southern zone (Burgundy, Dauphiné, Rhône-Alpes, Aquitaine, Midi Pyrénées, Provence-Méditerranée);  </w:t>
        <w:br/>
        <w:t xml:space="preserve">- exchanges of information between competitors regarding the level of margins, price structure, volumes, and clients' order schedules.  </w:t>
        <w:br/>
        <w:t xml:space="preserve">9. On March 23, 2007, the Council issued notice No. 07-A-04, granting Brenntag conditional leniency for collusion practices consisting of customer allocations and price coordination based notably on exchanges of information in the chemical commodity distribution sector, which would have occurred between 1998 and 2005 at the latest (references 838 to 845, 06/0075 AC). The Council granted the applicant, for the alleged practices, a partial exemption from the sanctions incurred, which could range from 15 to 35% of the amount of the sanction.  </w:t>
        <w:br/>
        <w:t xml:space="preserve">10. The benefit of this exemption was subject to the following conditions:  </w:t>
        <w:br/>
        <w:t xml:space="preserve">- "the relevance of the elements provided by Brenntag must be verified by the investigations; these elements must contribute to establishing the reality of the alleged practices, presented as anti-competitive, and to identifying the authors;  </w:t>
        <w:br/>
        <w:t xml:space="preserve">- Brenntag must provide the Competition Council and the investigation services of the Minister of Economy with total, permanent, and prompt cooperation throughout the investigation and potential instruction procedure and provide them with any evidence that comes into its possession or that it has regarding the suspected infringements, in the event that the Council decides to take up the alleged practices; in any case, it must keep the Competition Council informed of the progress and results of leniency procedures initiated before other competition authorities, as well as the progress and results of the proceedings initiated on the merits, if applicable, by these authorities regarding the alleged practices;  </w:t>
        <w:br/>
        <w:t xml:space="preserve">- it must cease its participation in the alleged illegal activities;  </w:t>
        <w:br/>
        <w:t xml:space="preserve">- it must not have taken measures to coerce other companies into participating in the infringement;  </w:t>
        <w:br/>
        <w:t xml:space="preserve">- it must not have informed other cartel members of the existence of its approach to obtain leniency, nor of the existence or content of this notice."  </w:t>
        <w:br/>
        <w:t xml:space="preserve">11. Furthermore, as part of its cooperation obligations, Brenntag revealed, several months after receiving its leniency notice, a customer allocation practice between itself and the company Chemco France SARL (hereinafter "Chemco"). This agreement took place from January 2000 to March 2007 and was limited to a single client, GKN (references 14357 to 14360 – in the absence of specification of the file number, file 07/0032 F is concerned).  </w:t>
        <w:br/>
        <w:t xml:space="preserve">c) The request from Univar  </w:t>
        <w:br/>
        <w:t xml:space="preserve">12. By minutes of December 13, 2006, the General Rapporteur of the Council received a leniency request presented on behalf of Univar, wishing to bring to its attention information establishing the existence of practices prohibited by Articles L. 420-1 of the Commercial Code and 81 of the TCE (now 101 of the TFEU), and involving, in addition to Univar, the companies Brenntag, Platret, Caldic, and APC in the sector of chemical commodity distribution in France, particularly in the Rhône-Alpes region (reference 2, 06/0092 AC).  </w:t>
        <w:br/>
        <w:t xml:space="preserve">13. The practices initially denounced by Univar, which would have occurred between 1998 and 2005, would have consisted of:  </w:t>
        <w:br/>
        <w:t xml:space="preserve">- the concerted implementation of billing clients for technical fees related to the handling of packaging and the management of deposits;  </w:t>
        <w:br/>
        <w:t xml:space="preserve">- price agreements to respond to client requests until 2003, then agreements on the level of margins after 2003 and until the summer of 2005, these discussions allowing for the allocation of clients and, consequently, the sharing of the market in volume.  </w:t>
        <w:br/>
        <w:t xml:space="preserve">14. The enumeration of the involved companies, the targeted practices, as well as the concerned territories was modified and/or supplemented by Univar during its statements and subsequent submissions. For the applicant, the alleged practices would ultimately consist of:  </w:t>
        <w:br/>
        <w:t xml:space="preserve">- agreements related to solvents and mineral chemistry products on deposits and technical fees, on prices and margins, and finally, on client allocations and market share freezes in the Rhône-Alpes region, some of which predate 1996;  </w:t>
        <w:br/>
        <w:t xml:space="preserve">- similar agreements related to solvents and mineral chemistry products, concerning on the one hand, the prices and margins of solvents and mineral chemistry products, and on the other hand, client allocations and market share freezes, in a more isolated and sporadic manner on certain targeted clients elsewhere in France, in the Parisian, western, Lorraine, and northern regions;  </w:t>
        <w:br/>
        <w:t xml:space="preserve">- discussions and exchanges on the purchase and sale prices of alcohol, volumes, and exchanges on future intentions and wishes regarding alcohol sales outside the meetings of the national union of alcohol denaturers (hereinafter "SNDA"), throughout the national territory.  </w:t>
        <w:br/>
        <w:t xml:space="preserve">15. On May 7, 2007, the Council issued notice No. 07-A-05, granting Univar conditional leniency for the alleged practices with a partial exemption from the sanctions incurred, which could range from 10 to 20% of the amount of the fine (references 611 to 616, 06/0092 AC).  </w:t>
        <w:br/>
        <w:t xml:space="preserve">16. The benefit of this exemption was subject to the following conditions:  </w:t>
        <w:br/>
        <w:t xml:space="preserve">- "the relevance of the elements provided by Univar must be verified by the investigations; these elements must contribute to establishing the reality of the alleged practices, presented as anti-competitive, and to identifying the authors;  </w:t>
        <w:br/>
        <w:t xml:space="preserve">- Univar must provide the Competition Council and the investigation services of the Minister of Economy with total, permanent, and prompt cooperation throughout the investigation and potential instruction procedure and provide them with any evidence that comes into its possession or that it has regarding the suspected infringements, in the event that the Council decides to take up the alleged practices; in any case, it must keep the Competition Council informed of the progress and results of leniency procedures initiated before other competition authorities, as well as the progress and results of the proceedings initiated on the merits, if applicable, by these authorities regarding the alleged practices;  </w:t>
        <w:br/>
        <w:t xml:space="preserve">- it must cease its participation in the alleged illegal activities;  </w:t>
        <w:br/>
        <w:t xml:space="preserve">- it must not have taken measures to coerce other companies into participating in the infringement;  </w:t>
        <w:br/>
        <w:t>- it must not have informed other cartel members of the leniency procedure."</w:t>
      </w:r>
    </w:p>
    <w:p>
      <w:r>
        <w:rPr>
          <w:b/>
        </w:rPr>
        <w:t>[Pages 19–21]</w:t>
      </w:r>
    </w:p>
    <w:p>
      <w:r>
        <w:t>2. INITIATION EX OFFICIO</w:t>
        <w:br/>
        <w:t>17. By decision No. 07-SO-02 of April 5, 2007, the Council initiated ex officio proceedings regarding practices implemented in the chemical products sector. This ex officio initiation was recorded under number 07/0032 F (reference 2).</w:t>
      </w:r>
    </w:p>
    <w:p>
      <w:r>
        <w:t>3. INSPECTION AND SEIZURE OPERATIONS</w:t>
        <w:br/>
        <w:t xml:space="preserve">18. By letter dated April 6, 2007, the general rapporteur of the Council requested the DGCCRF to conduct an investigation into the reported practices (references 71 to 77). Inspection and seizure operations were carried out on April 26, 2007, at the headquarters and in certain secondary establishments of the companies Brenntag, Univar, Quaron, Charbonneaux-Brabant, Produits Chimiques Platret, APC, Ciron, Caldic Est SASU (hereinafter "Caldic Est"), Caldic Centre, the French Union of Chemical Trade (hereinafter "UFCC"), and the SNDA. </w:t>
        <w:br/>
        <w:t>19. These operations proved, for the most part, unsuccessful.</w:t>
      </w:r>
    </w:p>
    <w:p>
      <w:r>
        <w:t>4. JOINING AND THEN SEPARATING PROCEDURES</w:t>
        <w:br/>
        <w:t>20. By decision of October 13, 2008, the general rapporteur decided to join the initiation No. 07/0032 F with the initiations recorded under numbers 06/0086 F, 07/0034 F, 07/0058 F, 07/0076 F, which concern the same sector, in application of Article R. 463-3 of the Commercial Code (reference 15192).</w:t>
        <w:br/>
        <w:t>21. By decision of June 2, 2009, the deputy general rapporteur decided to separate the initiation No. 07/0032 F from the investigation of these other initiations (reference 32776).</w:t>
      </w:r>
    </w:p>
    <w:p>
      <w:r>
        <w:t>B. THE SECTOR OF ACTIVITY</w:t>
        <w:br/>
        <w:t>22. The practices reported by the applicants for leniency concern the distribution of chemical commodities in France.</w:t>
      </w:r>
    </w:p>
    <w:p>
      <w:r>
        <w:t>1. CHEMICAL COMMODITIES</w:t>
        <w:br/>
        <w:t>23. The products concerned by the reported practices constitute one of the categories of chemical products, which include:</w:t>
        <w:br/>
        <w:t>- chemical commodities: basic raw materials, with a fixed composition, most often sold in large volumes, with moderate unit margins, primarily derived from mineral chemistry and petrochemistry, used by industry and services, and involving heavy investments and high logistics costs for distributors;</w:t>
        <w:br/>
        <w:t>- chemical specialties: formulated products intended for a specific performance for their end professional users. They are consequently at a higher price and correspond to a lower marketing volume than that of commodities;</w:t>
        <w:br/>
        <w:t>- fine chemicals: products with a fixed composition, notably advanced intermediates obtained by synthesis, active ingredients, and additives, integrating a high added value in research and development. They are therefore more expensive and marketed in low volume, to a targeted professional clientele (pharmaceutical laboratories, agri-food producers, etc.) (ruling of the Paris Court of Appeal of March 13, 2007, Gaches Chimie, BOCCRF No. 6 of November 16, 2007, p. 997).</w:t>
      </w:r>
    </w:p>
    <w:p>
      <w:r>
        <w:t>24. Chemical commodities consist of a very wide range of references, including liquid and solid mineral products and solvents, such as petroleum solvents, acetates, glycols, alcohols, ethers, soda, acids, bleach, hydrogen peroxide, ferric chloride, formaldehyde, bisulfites, potash, etc.</w:t>
        <w:br/>
        <w:t>25. The suppliers, producers of the concerned products, are the main groups in the chemical industry, including Exxon, Shell, BP, Lyondell, Solvay, Rhodia, Atochem, BASF, Bayer, Cerestar. They are producers of European or even global scale.</w:t>
      </w:r>
    </w:p>
    <w:p>
      <w:r>
        <w:t>2. DISTRIBUTION OF CHEMICAL COMMODITIES</w:t>
        <w:br/>
        <w:t>a) The different modes of marketing chemical commodities</w:t>
        <w:br/>
        <w:t>26. In terms of chemical commodities, it is necessary to distinguish:</w:t>
        <w:br/>
        <w:t>- direct sales by producers (at least 95% of production);</w:t>
        <w:br/>
        <w:t>- sales by a distributor;</w:t>
        <w:br/>
        <w:t>- sales by a "trader" (ruling of the Paris Court of Appeal of March 13, 2007, cited above, and decision of the European Commission of January 16, 2001, M. 2244, Royal Vopak/Ellis &amp; Everard).</w:t>
      </w:r>
    </w:p>
    <w:p>
      <w:r>
        <w:t>Direct sales by producers</w:t>
        <w:br/>
        <w:t>27. Chemical commodities are, for the most part, directly supplied by producers to end consumers, generally industrial user clients, who have needs for commodities in large quantities, usually by truck or full railcars.</w:t>
      </w:r>
    </w:p>
    <w:p>
      <w:r>
        <w:t>Sales by a distributor</w:t>
        <w:br/>
        <w:t>28. The distribution of chemical commodities is subject to regulatory and logistical constraints that make it economically ineffective for producers to deliver small quantities of chemical commodities. Consequently, producers of commodities deliver a residual part of their production to intermediaries, the distributors, who in turn sell to their clients smaller quantities, generally less than or equal to a full truckload (i.e., 24 tons). Given, in particular, the differences in quantities delivered, sales by distributors provide clients with a complementary offer to that made directly by producers.</w:t>
        <w:br/>
        <w:t>29. This distribution function is accompanied by services, such as storage, blending, dilution, packaging, delivery, or transport.</w:t>
        <w:br/>
        <w:t>30. Distributors of chemical commodities use two delivery modes:</w:t>
        <w:br/>
        <w:t>- delivery from the depot: the commercial transaction takes place between the distributor and the client, and the products are transported from the distributor's sites to those of the client;</w:t>
        <w:br/>
        <w:t>- direct delivery, or "straight": the commercial transaction takes place between the distributor and the client, but the products are transported (generally by full trucks) directly from the supplier's sites to those of the client, without passing through the distributor's depots.</w:t>
      </w:r>
    </w:p>
    <w:p>
      <w:r>
        <w:t>Sales by a "trader"</w:t>
        <w:br/>
        <w:t>31. Industrial clients can also turn to "traders," who differ from distributors in that the former limit their function to the simple commercial transaction of purchasing from producers and reselling to user clients, without the goods physically passing through their intermediary, and generally do not provide any other service. Products are generally delivered directly by the supplier to the trader's client.</w:t>
        <w:br/>
        <w:t>32. The practices noted in this case concern:</w:t>
        <w:br/>
        <w:t>- sales by distributors;</w:t>
        <w:br/>
        <w:t>- sales by traders.</w:t>
      </w:r>
    </w:p>
    <w:p>
      <w:r>
        <w:t>b) Characteristics of the sale of chemical commodities by distributors</w:t>
        <w:br/>
        <w:t>Characteristics of demand</w:t>
        <w:br/>
        <w:t>33. Clients of chemical commodities distributors engage in a wide variety of activities. These clients, who can be large industrial groups or small and medium-sized enterprises, are notably active in sectors such as the chemical industry, agri-food, automotive, hospital and private laundries, water treatment, armaments, concrete and road binder industry, disinfection and cleaning industry, dairies, paint manufacturing, mechanical and aeronautical industries, textiles, etc.</w:t>
      </w:r>
    </w:p>
    <w:p>
      <w:r>
        <w:t>Provision of specific services</w:t>
        <w:br/>
        <w:t>34. Distributors provide their clients with specific services that are not offered by producers or other intermediaries in the distribution of chemical commodities. In addition to the act of resale, a set of specific services is added, some of which are directly related to the hazardous nature of many products subject to specific regulatory constraints, particularly for storage and transport. These services include packaging according to client needs in lost or consigned packaging, carrying out mixtures and dilutions and their packaging, overall management of client supplies ("global sourcing" or "outsourcing"), information on implementation, safety management, labeling, management of products at the user, and finally management of effluents and packaging.</w:t>
        <w:br/>
        <w:t>35. Distributors also manage a multitude of suppliers and clients as well as a wide range of products, which is essential for the competitiveness of distributors.</w:t>
      </w:r>
    </w:p>
    <w:p>
      <w:r>
        <w:t>A constraining regulatory context</w:t>
        <w:br/>
        <w:t>36. Chemical commodities are products that are more or less dangerous (sometimes flammable, toxic, explosive, etc.) and, as such, are subject to strict regulations regarding product quality and safety as well as environmental protection as a whole. This regulation concerns both the product itself and its conditions of storage, transport, and all associated services. The requirements imposed by suppliers lead distributors to focus on</w:t>
      </w:r>
    </w:p>
    <w:p>
      <w:r>
        <w:rPr>
          <w:b/>
        </w:rPr>
        <w:t>[Pages 22–24]</w:t>
      </w:r>
    </w:p>
    <w:p>
      <w:r>
        <w:t xml:space="preserve">certification of quality and environmental compliance (see in particular the multiple certifications: ISO 9000 to 9002 and 14001).  </w:t>
        <w:br/>
        <w:t xml:space="preserve">37. Manufacturers and distributors of chemical products are particularly concerned by the expansion of the number of facilities subject to Directive 96/82/EC of the Council of December 9, 1996, concerning the control of major accident hazards involving dangerous substances (OJ L 10 of January 14, 1997, p. 13). This European directive was established in 1982 and then simplified and extended in 1999, under its "Seveso II" version, to a larger number of sites, including transport and storage infrastructures. It involves enhanced safety measures and information to the public about the risks involved. The European Commission decided to strengthen the Seveso II directive following a series of industrial accidents in Europe, including the explosion at the AZF plant in Toulouse in September 2001. As of December 31, 2003, this directive was thus amended to meet new requirements.  </w:t>
        <w:br/>
        <w:t xml:space="preserve">38. Distribution activities involve, in this context, making costly investments in special equipment. For example, the creation of a Seveso site currently requires an investment of approximately 15 million euros, a heavy investment with distant profitability. It should be noted in this regard that, during the period 2003-2006, Brenntag was the only distributor of chemical commodities in France to have successfully obtained the "Seveso II high threshold" qualification for its site in Tournan-en-Brie (initially "Seveso II low threshold") in 2005. Furthermore, on May 22, 2006, the new "Seveso II high threshold" site of Brenntag in Montville was inaugurated: this required a renovation investment of 16.5 million euros.  </w:t>
        <w:br/>
        <w:t xml:space="preserve">39. These various characteristics allow for the identification of a specific distribution activity of chemical commodities, with a turnover of nearly 1.3 billion euros in 2011 (references 44918 to 44919).  </w:t>
        <w:br/>
        <w:t xml:space="preserve">C. THE COMPANIES INVOLVED  </w:t>
        <w:br/>
        <w:t xml:space="preserve">40. The distributors concerned by the established practices are the following companies:  </w:t>
        <w:br/>
        <w:t xml:space="preserve">− Brenntag;  </w:t>
        <w:br/>
        <w:t xml:space="preserve">− Établissements Marce (became Brenntag in 2001);  </w:t>
        <w:br/>
        <w:t xml:space="preserve">− Univar (formerly Lambert-Rivière, Quarréchim, and Vaissière-Favre);  </w:t>
        <w:br/>
        <w:t xml:space="preserve">− Solvadis (formerly Langlois-Chimie and RPC-Clément);  </w:t>
        <w:br/>
        <w:t xml:space="preserve">− Quaron (formerly Districhimie);  </w:t>
        <w:br/>
        <w:t xml:space="preserve">− Caldic Est.  </w:t>
        <w:br/>
        <w:t xml:space="preserve">41. Together, these companies represented over 80% in 2004 (Brenntag [50-55%], Univar [15-20%], Solvadis [5-10%], Caldic Est [0-5%]) of the distribution of chemical commodities in France (references 251, 288, and 309, 06/0064 AC, references 13157 to 13159, and 9692 to 9697).  </w:t>
        <w:br/>
        <w:t xml:space="preserve">42. Chemco, a company involved in the "trading" of chemical commodities, is also concerned for a practice implemented with Brenntag. It is of modest size.  </w:t>
        <w:br/>
        <w:t xml:space="preserve">1. THE BRENNTAG GROUP  </w:t>
        <w:br/>
        <w:t xml:space="preserve">43. Established in Germany in 1874, the Brenntag group is now one of the world's leading wholesalers of chemical products. The group has 400 locations in 60 countries across 5 continents, employing 11,000 people. It offers its 150,000 clients a catalog containing over 10,000 references.  </w:t>
        <w:br/>
        <w:t xml:space="preserve">44. The Brenntag group operates in the distribution of chemical products and has undergone two changes of control in three years: in February 2004, Deutsche Bahn sold control of the Brenntag group to the investment fund Bain Capital, and then, in September 2006, Bain Capital sold its stake to the German investment fund BC Partners. Before its acquisition by Deutsche Bahn in October 2002, the Brenntag group was part of the German energy group E.ON.  </w:t>
        <w:br/>
        <w:t xml:space="preserve">45. Brenntag SA is the French subsidiary of the Brenntag group, whose holding company is a Luxembourg law company, Brachem SCA.  </w:t>
        <w:br/>
        <w:t xml:space="preserve">46. Brenntag SA results from the acquisition of several companies active in France: Interdepot Le Prieur (1989), Distribution Chimie (Debauche) (1992), Orchidis (1994), Bonnave (1996), Marce (2001), APC (2007).  </w:t>
        <w:br/>
        <w:t xml:space="preserve">47. These companies, which previously had the status of subsidiaries (for the sites of the former Distribution Chimie group and for the former Orchidis entity), were merged into Brenntag SA on January 1, 2000 (except for Établissements Marce, integrated in 2001), to become "sites," that is to say, secondary establishments within the meaning of Article R. 123-40 of the Commercial Code. Brenntag currently has 17 sites distributing commodities and one site distributing specialties (site in Sartrouville).  </w:t>
        <w:br/>
        <w:t xml:space="preserve">48. Brenntag achieved a turnover of 455 million euros in France for the 2011 fiscal year. The consolidated turnover of the group amounted to 8.6 billion euros for the year 2011.  </w:t>
        <w:br/>
        <w:t xml:space="preserve">49. As early as 1998, the date of the start of the established practices, Brenntag had a national presence with 25 storage sites, giving it a leading position in France (references 23451 to 23453). Its main competitors, of smaller size, only had a regional presence or, at best, a multi-regional presence (references 23455 to 23460, 34283 to 34285, 35921, and 35922).  </w:t>
        <w:br/>
        <w:t xml:space="preserve">50. In 2003, in the western zone, Brenntag held a strong position ahead of Langlois-Chimie (Solvadis), then Univar (references 685, 06/0075 AC, 12069, 12075, 24332, and 22715). In the Burgundy zone, Brenntag was followed by Univar, then by Caldic Est, and then by Beauseigneur (references 262, 06/0075 AC, 24333, and 32761). In the Rhône-Alpes zone, Brenntag was followed by Univar, then by Platret (references 574, 06/0075 AC, 12075, 14669, 14679, and 24333). In the northern zone, Brenntag was followed by Univar, then by Districhimie (Quaron) (references 698, 06/0075 AC, 12075, and 24334).  </w:t>
        <w:br/>
        <w:t xml:space="preserve">51. None of the parties contested this hierarchy of companies in the considered geographical areas.  </w:t>
        <w:br/>
        <w:t xml:space="preserve">2. THE UNIVAR GROUP  </w:t>
        <w:br/>
        <w:t xml:space="preserve">52. Founded in 1924, Univar is among the world leaders in the distribution of chemical products. Present in the United States, Canada, Europe, and China, the group has 170 storage and distribution sites. It has a portfolio of 250,000 clients. Since October 2007, the group has been acquired by the investment fund CVC Capital Partners and is no longer publicly traded.  </w:t>
        <w:br/>
        <w:t xml:space="preserve">53. The Univar group is present in France through its subsidiary of the same name, located in Fontenay-sous-Bois.  </w:t>
        <w:br/>
        <w:t xml:space="preserve">54. This subsidiary results from the merger, at the end of 2002, of three companies: Lambert-Rivière, Quarréchim, and Vaissière-Favre. Lambert-Rivière and Quarréchim became respectively the parent company and subsidiaries in 1998 and were both part of the Vopak group, which acquired the Vaissière-Favre group at the end of 2000, so that from that date, until their merger at the end of 2002, the three companies were under common control.  </w:t>
        <w:br/>
        <w:t xml:space="preserve">55. In France, Univar has 17 sites located in Lille, Carquefou, Val de Fontenay, Riedisheim, Genay, Genas, Pierre-Bénite, Martigues, Rognac, Lavera, Muret, Blanquefort, Aurillac, Le Puy-en-Velay, Villeneuve-la-Garenne, Mitry-Mory, and Lieu-Saint. It offers the full range of products from the group.  </w:t>
        <w:br/>
        <w:t xml:space="preserve">56. In 2011, Univar achieved a turnover of 340 million euros in France. The consolidated global turnover of the Univar group amounted to 8 billion dollars (5.8 billion euros) for that same year.  </w:t>
        <w:br/>
        <w:t xml:space="preserve">3. THE SOLVADIS GROUP  </w:t>
        <w:br/>
        <w:t xml:space="preserve">57. Founded in 1925 in Rennes, the chemical distribution company Langlois-Chimie became Solvadis on January 24, 2002. On this occasion, Solvadis also took over the business of its subsidiary, RPC-Clément, acquired from Solvay by Langlois-Chimie in 1996, which operated two chemical distribution sites in Montereau and Lille.  </w:t>
        <w:br/>
        <w:t xml:space="preserve">58. Solvadis operated from its main site in Saint-Jacques de la Lande (35) and five other depots: Montereau (77), Niort (79), Cestas (33), Lille (59), and Lyon (69).  </w:t>
        <w:br/>
        <w:t xml:space="preserve">59. In October 2005, Solvadis sold its business to Quaron, a company also active in the distribution of chemical commodities. Solvadis still exists as a legal entity registered with the RCS of Rennes.  </w:t>
        <w:br/>
        <w:t xml:space="preserve">60. Solvadis, and before it Langlois-Chimie, is part of the Solvadis group, which was owned until 2004 by the German company MG Technologies AG, before the latter sold it to the investment fund SSVP. In 2011, the Solvadis group reported a turnover of 960 million euros.  </w:t>
        <w:br/>
        <w:t xml:space="preserve">4. THE QUARON GROUP  </w:t>
        <w:br/>
        <w:t xml:space="preserve">61. Quaron is a distributor of chemical products, resulting from the integration on October 1, 2005, of Solvadis into Quaron, formerly Districhimie located in Haubourdin (59).  </w:t>
        <w:br/>
        <w:t xml:space="preserve">62. Since the acquisition of Solvadis's activities, Quaron operates from 5 depots: Rennes (35), Haubourdin (59), Montereau-Fault-Yonne (77), Niort (79), Cestas (33), and has 2 sales agencies: Mions (69) and Riedisheim (68).  </w:t>
        <w:br/>
        <w:t>63. Quaron is part of the Quaron group, which is one of the leaders in the distribution of chemical products in the Netherlands, Belgium, and France. Quaron achieved a turnover of 116.5 million euros in France in 2011.</w:t>
      </w:r>
    </w:p>
    <w:p>
      <w:r>
        <w:rPr>
          <w:b/>
        </w:rPr>
        <w:t>[Pages 25–27]</w:t>
      </w:r>
    </w:p>
    <w:p>
      <w:r>
        <w:t>d'une stratégie d'éradication de la concurrence. Cela a eu pour effet de dégrader les résultats de tous les acteurs du marché, y compris ceux de Vaissière-Favre » (cotes 10811 à 10813).</w:t>
      </w:r>
    </w:p>
    <w:p>
      <w:r>
        <w:t>84. M. Jean-Pierre F..., directeur commercial de Vaissière-Favre, a également confirmé que « la politique de prix de Brenntag a eu un impact très négatif sur le marché, entraînant une guerre des prix qui a affecté tous les distributeurs, y compris nous » (cotes 10814 à 10816).</w:t>
      </w:r>
    </w:p>
    <w:p>
      <w:r>
        <w:t>85. En conséquence, les distributeurs ont ressenti une pression croissante pour réduire leurs prix afin de rester compétitifs, ce qui a conduit à des pratiques anticoncurrentielles dans le secteur.</w:t>
      </w:r>
    </w:p>
    <w:p>
      <w:r>
        <w:t>6. CONCLUSION</w:t>
        <w:br/>
        <w:t>86. Les éléments de preuve recueillis démontrent que les pratiques anticoncurrentielles ont été mises en place dans un contexte de forte pression concurrentielle et de résultats financiers dégradés. Les acteurs du marché, confrontés à des défis économiques et réglementaires, ont été amenés à adopter des comportements collusoires pour préserver leur rentabilité.</w:t>
      </w:r>
    </w:p>
    <w:p>
      <w:r>
        <w:rPr>
          <w:b/>
        </w:rPr>
        <w:t>[Pages 28–30]</w:t>
      </w:r>
    </w:p>
    <w:p>
      <w:r>
        <w:t>to eradicate competition; we were not able to face such prices (...) As I explained to you, in the Lyon region, the chemical industry was held by people who had all known each other for a long time and who, after the arrival of Brenntag, wished to put an end to a potentially deadly price war. In my opinion, Mr. Z..., who was under pressure from his management for results, was in contact with the leaders of other local companies to start the first discussions on a price-fixing approach" (references 13312 to 13314). Mr. Michel E... specified that "[i]n 1993 (...) the company Brenntag had just acquired the company Orchidis and began to practice very low prices on chemical commodities hoping to weaken local structures in view of potential acquisitions in the Rhône-Alpes area. Notably in order to withstand competitive pressure, the Favre and Vaissière structures merged in 1995. All local companies were forced to enter this price war, but this strategy weakened the various structures. Brenntag also had significantly declining results in the region. In my opinion, Mr. Olivier Z..., who knew the various leaders of the local sites and to improve Brenntag's results, took the initiative to bring together all the stakeholders in the region for an agreement on minerals and for the application of technical fees. Very quickly, solvents were mentioned, a price agreement and volume allocations were established (...) Gradually we raised prices in order to restore margins" (references 22787 to 22790).</w:t>
      </w:r>
    </w:p>
    <w:p>
      <w:r>
        <w:t>Solvadis/Quaron</w:t>
      </w:r>
    </w:p>
    <w:p>
      <w:r>
        <w:t>84. Mr. Bruno D..., chairman of the management board of Quaron, indicated that he was unaware of the reasons why Brenntag's competitors engaged in these agreements "but, regarding Solvadis/Quaron which I lead today, its abysmal results further deteriorated and, in 2005, when I arrived, the company was on the brink of bankruptcy" (references 13312 to 13314).</w:t>
      </w:r>
    </w:p>
    <w:p>
      <w:r>
        <w:t>85. Mr. Pierre C..., former industry director in charge of the western region at Solvadis, estimated that "Langlois was the undisputed leader in the West and held 60 to 70% of the market. Langlois underestimated the arrival of Sodichem in the market and lost market shares, in the order of 20 to 30% due to a lack of responsiveness (...) Sodichem and Orchidis were acquired by Brenntag, which invested in numerous regional sites nearby. Langlois lacked responsiveness: its shareholder refused any investment in nearby branches and the choice was made to centralize everything in Rennes, closing the sites in Nantes, Angers, Brest, and Caen" (references 13354 to 13356).</w:t>
      </w:r>
    </w:p>
    <w:p>
      <w:r>
        <w:t>86. Mr. Marc-Antoine F..., former president of Solvadis, specified that "[a]fter my appointment at Langlois, I was informed by Mr. C... of the exchanges he had with Mr. B... during a lunch organized by Mr. C... that brought the three of us together in the company of Mr. G.... The crux of the debate was to say that the western region was devastated and that its activity required significant investments, and that a solution needed to be found to allow for margin increases and to promote these investments" (references 34049 to 34056).</w:t>
      </w:r>
    </w:p>
    <w:p>
      <w:r>
        <w:t>87. The statements of the various managers of Brenntag, Univar, and Solvadis thus allow us to identify the links between the previously described economic context and the collusive strategy that would be implemented starting in 1998.</w:t>
      </w:r>
    </w:p>
    <w:p>
      <w:r>
        <w:t>88. Brenntag established this correlation between the aforementioned context and the denounced practices: "Due to the very high dispersion of participants, the importance of capital investments to be made locally to carry out the activity of wholesaler/distributor of chemical products in compliance with both national and community regulations (Seveso II Directive No. 96/82/EC, Law of July 19, 1976, Decree of September 21, 1977), and deindustrialization, the conditions for exercising this profession have become extremely difficult. It is in this difficult economic and regulatory context for the profession that certain wholesale distributors of chemical products (including commodities) in certain areas of France decided to agree according to variable modalities depending on the geographical areas concerned" (reference 256, 06/0075 AC).</w:t>
      </w:r>
    </w:p>
    <w:p>
      <w:r>
        <w:t>2. THE PURSUIT OF A COMMON PURPOSE IN THE PRACTICES IN QUESTION ACROSS DIFFERENT AREAS</w:t>
      </w:r>
    </w:p>
    <w:p>
      <w:r>
        <w:t>89. In this context, the regional directors and site directors of the main distributors of chemical commodities attempted to restore the profitability of the sites for which they were responsible, under the pressure of the performance objectives set by their general management. To this end, they implemented a series of coordinated practices for customer allocation and price coordination, aimed at stabilizing the market shares of each and improving the results of the sites affected by the practices.</w:t>
      </w:r>
    </w:p>
    <w:p>
      <w:r>
        <w:t>90. The purpose of the practices in question across the four areas was explicitly and unanimously expressed by the applicants for leniency in their statements.</w:t>
      </w:r>
    </w:p>
    <w:p>
      <w:r>
        <w:t>On the Burgundy area</w:t>
      </w:r>
    </w:p>
    <w:p>
      <w:r>
        <w:t>91. Brenntag, which denounced a coordination between itself and Caldic Est, to which Univar would have joined, specified: "[r]egarding the agreement with Univar, it seems that the members agreed to maintain the volumes allocated to each of them. The allocation was not to change the proportion of volumes on which the members had agreed" (reference 26695). Brenntag provided documents evidencing the monitoring of volumes and clients affected by the customer allocation practice and the adjustments made to maintain the market shares of Brenntag and Caldic Est in this area (references 261 to 269, 361, 362, 365, and 366 to 368, 06/0075 AC).</w:t>
      </w:r>
    </w:p>
    <w:p>
      <w:r>
        <w:t>On the Rhône-Alpes area</w:t>
      </w:r>
    </w:p>
    <w:p>
      <w:r>
        <w:t>92. Brenntag explained that "[t]he objective was to harmonize price increases – mainly during the increases decided by the producers – and to maintain the positions of each of the participants" and that, starting in 2000, "[customer allocations were established, served in turn by the participants]" (reference 576, 06/0075 AC).</w:t>
      </w:r>
    </w:p>
    <w:p>
      <w:r>
        <w:t>93. Thus, the stabilization of market shares of the different members concerning solvents was ensured by a volume allocation. This allocation of "volume was mainly based on the sales volumes recorded by each member of the agreement at the end of the 1999 fiscal year, it being noted that the volumes at the end of 1999 were hypothetically similar to those of the 1998 fiscal year, the year 1999 having been a year during which the positions of competitors were frozen. For new clients, the volume allocation was ensured equally" (reference 578, 06/0075 AC).</w:t>
      </w:r>
    </w:p>
    <w:p>
      <w:r>
        <w:t>94. Regarding mineral chemistry products, Brenntag specified that "the agreement on mineral chemistry products consisted of freezing and maintaining the positions of each of the members as they existed at the beginning of the agreement (the basic allocation for these products being that recorded at the end of 1998)" (reference 579, 06/0075 AC).</w:t>
      </w:r>
    </w:p>
    <w:p>
      <w:r>
        <w:t>95. Mr. Pierre A..., sales director of Brenntag in Chassieu, stated that "[s]tarting in 1999, collusive practices were organized in Lyon at the initiative of Brenntag and Univar, who, faced with declining results, wanted to restore their margin" (references 10807 to 10810). He also confirmed the existence of a tariff and specified that "[t]he objective of this consultation was to maintain a certain level of margin" (references 33114 to 33121).</w:t>
      </w:r>
    </w:p>
    <w:p>
      <w:r>
        <w:t>96. Mr. Olivier Z..., director of the southern region and director of the Brenntag site in Chassieu, also explained that "[t]hese consultations aimed to maintain our margins because due to the number of suppliers in the market, prices were driven down (...) At the same time, at the beginning of 2000, based on the tonnages of 1999, we decided not to aggress each other. The purpose of the consultation was to stabilize each other's market shares... These consultations aimed to maintain our margins because due to the number of suppliers in the market, prices were driven down" (references 32760 to 32764).</w:t>
      </w:r>
    </w:p>
    <w:p>
      <w:r>
        <w:t>97. Univar, for its part, specified that from 1998 to the end of 2002, "[d]uring these meetings, a shared basic monthly tariff for solvents was first established, then the fate of highly contested clients (mainly disloyal and price-sensitive clients) was discussed with the objective of preserving market shares and maximizing gross margin (see tables) (...) Regarding mineral chemistry, it was about freezing the client positions that each actor delivered" (reference 574, 06/0075 AC).</w:t>
      </w:r>
    </w:p>
    <w:p>
      <w:r>
        <w:t>98. For the period after 2002, Univar indicated that "[t]he respect for volumes and market shares by client/product (reference base 2002) (...) a meeting approximately every month and a half took place to discuss adjustments to be made based on each one's market shares (base year 2002), as well as the tariff for solvents and the margin level per client. Mineral chemistry was only considered at the end, and only for the price level of products that fluctuated (...) The objective was to maintain a good price level and not to seek to do too much volume in order not to risk deteriorating margins" (references 575 and 576, 06/0092 AC).</w:t>
      </w:r>
    </w:p>
    <w:p>
      <w:r>
        <w:t>99. Mr. Pascal H..., former sales representative of Quarréchim in Lyon, who became key account manager and then sales manager at Univar, estimated that "[i]t was about preserving market shares, volumes" (references 11953 to 11954).</w:t>
      </w:r>
    </w:p>
    <w:p>
      <w:r>
        <w:t>100. Mr. Loïc I..., head of the Lyon region at Lambert-Rivière, who became head of chemistry at the national level and then "Business Manager" and key account manager at Univar, stated that "[t]he interest of these practices was to maintain existing positions" (references 14676 and 14677).</w:t>
      </w:r>
    </w:p>
    <w:p>
      <w:r>
        <w:t>101. Mr. Michel E..., marketing and sales director of mineral chemistry within the Vaissière-Favre SA group from 1998 to 2002, who became director of the Centre region within Univar, indicated that "[a] common tariff was developed with a mechanism that was to allow for price increases while preserving market shares (...) Gradually we raised prices in order to restore margins" (references 22787 to 22790).</w:t>
      </w:r>
    </w:p>
    <w:p>
      <w:r>
        <w:t>102. Univar provided documents outlining the management tools for the practices, particularly for solvents in the Rhône-Alpes area. It includes a table related to the allocation of orders for solvents and a marketing database (references 47, 48, and 128 to 393, 06/0092 AC). These documents demonstrate the interest that the members of the consultation attached to monitoring market shares (the years 1998 and then 2002 having been successively retained as reference years) and to their stabilization throughout the period.</w:t>
      </w:r>
    </w:p>
    <w:p>
      <w:r>
        <w:rPr>
          <w:b/>
        </w:rPr>
        <w:t>[Pages 31–33]</w:t>
      </w:r>
    </w:p>
    <w:p>
      <w:r>
        <w:t>On the western zone</w:t>
      </w:r>
    </w:p>
    <w:p>
      <w:r>
        <w:t>103. Univar stated that "[t]elephone consultations were organized every 2-3 months between certain competitors, with the objective of maintaining positions and margins" (reference 577, 06/0092 AC).</w:t>
      </w:r>
    </w:p>
    <w:p>
      <w:r>
        <w:t>104. Ms. Laurence J..., group leader of "marketing" solvents at Univar, formerly responsible for solvents at Lambert-Rivière (Univar), indicated that she tried "to maintain, in agreement with my competitors, my sales levels. I communicated after the price to the sellers located in the relevant areas, for these specific clients" (reference 13352).</w:t>
      </w:r>
    </w:p>
    <w:p>
      <w:r>
        <w:t>105. Univar provided documents that constitute management tools for practices, particularly for solvents in the western zone. They testify to the monitoring of sales of competitors participating in the practice in question and the stabilization of market shares (reference 415, 06/0092 AC).</w:t>
      </w:r>
    </w:p>
    <w:p>
      <w:r>
        <w:t>106. Mr. Jean-Yves B..., regional director for Brittany Center-West at Brenntag, stated that he "participated in these agreements to further improve my margins, to not let Solvadis lose money, and to keep a competitor rather than eliminate it and/or see an unknown arrive, likely to disrupt our balance (...) The objective was certainly to improve our margins but not excessively; we could not do just anything and especially we could not deliver at any price. Our business is a local business and, if our prices had been too high, we would have run the risk of attracting competitors from other regions" (references 22503 to 22507).</w:t>
      </w:r>
    </w:p>
    <w:p>
      <w:r>
        <w:t>107. Mr. Alain K..., commercial director of the Brenntag Maine-Bretagne site confirmed the statements of his former site director in that "[i]t was about sharing clients based on the history of supplies (...) The objective of the agreement was to continue this sharing and improve margins. These were the largest clients representing approximately 40% of the site's margin" (references 37202 to 37207).</w:t>
      </w:r>
    </w:p>
    <w:p>
      <w:r>
        <w:t>108. Mr. Jacques L..., director of the western region from 2002 of Langlois-Chimie (Solvadis), stated that he observed in the west "that Brenntag had established itself and had broken the competition by practicing very low prices, then had agreed with the competition to stabilize prices" (references 13348 to 13349).</w:t>
      </w:r>
    </w:p>
    <w:p>
      <w:r>
        <w:t>109. Mr. Marc-Antoine F..., chairman of the management board of Langlois-Chimie (Solvadis), estimated that "[t]he crux of the debate was to say that the western region was devastated and that its activity required significant investments, and that a solution had to be found to allow for margin increases and promote these investments" (references 34049 to 34056).</w:t>
      </w:r>
    </w:p>
    <w:p>
      <w:r>
        <w:t>110. Mr. Eric M..., former director of the Rennes site of Langlois-Chimie (Solvadis) acknowledged that if "Langlois (which became Solvadis then Quaron) was historically well established in the west, [but] increasing margins by four to five points is tempting" (references 12068 to 12070).</w:t>
      </w:r>
    </w:p>
    <w:p>
      <w:r>
        <w:t>On the northern zone</w:t>
      </w:r>
    </w:p>
    <w:p>
      <w:r>
        <w:t>111. Brenntag emphasized that "the agreement between Brenntag-north, Districhimie, and Solvadis consisted of price coordination and client allocation that only concerned a mineral chemistry product representing a significant share of the sales volume of the parties to the agreement, caustic soda" (reference 699, 06/0075 AC), an agreement that had been established between the three companies in response to the threat posed by the entry of a Belgian competitor, Holvoet. The practice in question in the northern zone aimed to maintain the market positions of each party, first by preventing the arrival of this new entrant, and then by freezing competition on the main product marketed by their sites, caustic soda. As soon as the company Districhimie, which held a significant position in this area, ended its participation in the practice, it could not continue between Brenntag and RPC-Clément (Solvadis), as it was no longer possible to achieve the objective of stabilizing market shares without Districhimie.</w:t>
      </w:r>
    </w:p>
    <w:p>
      <w:r>
        <w:t>112. In this regard, Mr. Jean-Pierre N..., director of the northern region at Brenntag noted that "[t]hese practices were implemented to 'regularize' the market subject to fluctuations in raw material prices and the arrival of a new competitor Holvoet which led to very low price fixing by the distributors" (references 14652 to 14654).</w:t>
      </w:r>
    </w:p>
    <w:p>
      <w:r>
        <w:t>113. In the context thus described, the practices identified, which number four, correspond to the four activity zones of the storage sites that implemented the coordinated practices by the leniency applicants. It should be noted that the scope, or even the designation of these zones, may vary from one leniency applicant to another. The four practices will be described, for ease of reading, using the breakdown specific to Brenntag:</w:t>
        <w:br/>
        <w:t>- Brenntag, Districhimie (Quaron) and RPC-Clément (Solvadis) in the northern zone;</w:t>
        <w:br/>
        <w:t>- Brenntag, Marce (Brenntag), Lambert-Rivière (Univar), Vaissière-Favre (Univar) and Quarréchim (Univar) in the Rhône-Alpes zone;</w:t>
        <w:br/>
        <w:t>- Brenntag and Caldic Est in the Burgundy zone;</w:t>
        <w:br/>
        <w:t>- Brenntag, Langlois-Chimie (Solvadis) and Lambert-Rivière (Univar) in the western zone.</w:t>
      </w:r>
    </w:p>
    <w:p>
      <w:r>
        <w:t>3. THE PRACTICES IMPLEMENTED BY BRENNTAG FROM ITS WATTRELOS SITE (59), DISTRICHIMIE FROM ITS HAUBOURDIN SITE (59), AND RPC-CLÉMENT (SOLVADIS) FROM ITS LOMME SITE (59)</w:t>
      </w:r>
    </w:p>
    <w:p>
      <w:r>
        <w:t>114. In the northern zone, a consultation, which was denounced by Brenntag in its note of December 29, 2006, was established between this company, from its Wattrelos site, Districhimie (Quaron), from its Haubourdin site, and RPC-Clément (Solvadis), from its Lomme site (references 697 to 704, 06/0075 AC).</w:t>
      </w:r>
    </w:p>
    <w:p>
      <w:r>
        <w:t>115. This consultation aimed to:</w:t>
        <w:br/>
        <w:t>- allocate the deliveries of chemical commodities, mainly caustic soda, to the clients that these companies had in common, through, on the one hand, exchanges of information, notably on the price offers to be submitted to these clients and, on the other hand, a non-aggression pact;</w:t>
        <w:br/>
        <w:t>- coordinate selling prices through a joint increase in the price hikes of suppliers of chemical commodities.</w:t>
      </w:r>
    </w:p>
    <w:p>
      <w:r>
        <w:t>a) The origin of the practices</w:t>
      </w:r>
    </w:p>
    <w:p>
      <w:r>
        <w:t>116. At the end of 1997, a new competitor, Holvoet, located in Belgium 5 km from the French border, sought to develop its sales in France, in the northern zone. To face this new competition and to "regularize" the market subject to fluctuations in raw material prices, Brenntag contacted Districhimie (Quaron) and RPC-Clément (Solvadis) to hinder the arrival and development of this new entrant in the northern zone (reference 14652).</w:t>
      </w:r>
    </w:p>
    <w:p>
      <w:r>
        <w:t>117. Several mentions in the notes of Mr. Michel P... (references 2840 to 2866 and 2868 to 2877), former salesperson of Brenntag in Wattrelos, seized during the search and seizure operations on April 26, 2007, refer to the strategy of the three distributors using the terms: "counter," "thwart Holvoet," "attention Holvoet" or "pbs Holvoet" (references 2840, 2847, 2850, 2871 and 2874).</w:t>
      </w:r>
    </w:p>
    <w:p>
      <w:r>
        <w:t>118. This point is also highlighted by the statements of the participants in the practice in question, Mr. Gilles O..., director of the Brenntag site in Wattrelos, Mr. Michel P..., salesperson at the Wattrelos site and the former directors of the RPC-Clément site, Messrs. Jean-Marc Q... and Jean-Marc R... (references 11974 to 11976, 34824, 35668 to 35671, 34827 to 34830).</w:t>
      </w:r>
    </w:p>
    <w:p>
      <w:r>
        <w:t>119. It emerges from these statements that Brenntag took the initiative for the meetings between competitors. Thus, Mr. Gilles O..., director of the Brenntag site in Wattrelos stated that "[a]s far as I remember and according to all likelihood, it was on the instruction/impulse by phone from Jean-Pierre N..., director of the northern region, given to my attention, that these meetings began: in no case, indeed, for the northern region, would a salesperson hold these meetings without the northern region management validating or initiating them" (references 11974 to 11976).</w:t>
      </w:r>
    </w:p>
    <w:p>
      <w:r>
        <w:t>120. Mr. Jean-Pierre N..., director of the northern region of Brenntag confirmed that the origin of the identified practice came from Brenntag, but attributes it to his site director in Wattrelos: "As far as I remember, I think it was Gilles O..., my site director, who must have taken the initiative, and I gave him my agreement, but I do not recall that he did it on my instruction" (references 14652 to 14654).</w:t>
      </w:r>
    </w:p>
    <w:p>
      <w:r>
        <w:t>121. Mr. Philippe S..., salesperson of Brenntag in Wattrelos, stated that the practice in question was initiated "on hierarchical instruction from the northern region management" (reference 13362).</w:t>
      </w:r>
    </w:p>
    <w:p>
      <w:r>
        <w:t>122. Consequently, the three distributors of chemical commodities met, at the initiative of Brenntag, to counter the development of Holvoet and limit the competition that existed between them. This consultation between the three aforementioned companies began at least on December 17, 1997, with a consultation meeting taking place on that date (reference 2869).</w:t>
      </w:r>
    </w:p>
    <w:p>
      <w:r>
        <w:t>b) The participants in the practices</w:t>
      </w:r>
    </w:p>
    <w:p>
      <w:r>
        <w:t>123. The participants in the various meetings and exchanges between the companies in question were:</w:t>
        <w:br/>
        <w:t>For Brenntag (reference 700, 06/0075 AC)</w:t>
        <w:br/>
        <w:t>- Mr. Jean-Pierre N..., regional director and member of the management committee of Brenntag;</w:t>
        <w:br/>
        <w:t>- Mr. Gilles O..., director of the Wattrelos site;</w:t>
        <w:br/>
        <w:t>- Mr. Michel P..., salesperson of the Wattrelos site;</w:t>
        <w:br/>
        <w:t>- Mr. Philippe S..., salesperson then deputy director from January 2003 of the Wattrelos site.</w:t>
        <w:br/>
        <w:t>For Districhimie (Quaron) (references 34079 to 34081, and 35867 to 35869)</w:t>
        <w:br/>
        <w:t>- Mr. Luc T..., general director until July 2001;</w:t>
      </w:r>
    </w:p>
    <w:p>
      <w:r>
        <w:rPr>
          <w:b/>
        </w:rPr>
        <w:t>[Pages 34–36]</w:t>
      </w:r>
    </w:p>
    <w:p>
      <w:r>
        <w:t xml:space="preserve">- Ms. Claire U..., product manager for liquid and solid basic mineral chemistry for the north from 1991 to April 2002.  </w:t>
        <w:br/>
        <w:t xml:space="preserve">For RPC-Clément (Solvadis) (reference 34086)  </w:t>
        <w:br/>
        <w:t xml:space="preserve">- Mr. Jean-Marc Q..., sales manager for the northern region, then site manager of Lomme and member of the management team (reference 34086);  </w:t>
        <w:br/>
        <w:t xml:space="preserve">- Mr. Jean-Marc R..., sales representative, who became the site manager of Lomme on July 1, 2001.  </w:t>
        <w:br/>
        <w:t xml:space="preserve">c) The purpose of the practices  </w:t>
        <w:br/>
        <w:t xml:space="preserve">On the customer allocation practice  </w:t>
        <w:br/>
        <w:t xml:space="preserve">124. Brenntag, Districhimie (Quaron), and RPC-Clément (Solvadis) allocated their clientele through cover offers, some of which aimed to "counter Holvoet," to "oppose" him by offering prices lower than those offered by him when he approached certain clients of these three distributors.  </w:t>
        <w:br/>
        <w:t xml:space="preserve">125. The minutes of the meeting on December 15, 1998, between Brenntag, RPC-Clément (Solvadis), and Districhimie (Quaron) illustrate this customer allocation practice (references 2846 to 2851). On this document, under the heading "Holvoet: Policy: reaction based on who delivers," there is a list of clients next to which the name of the distributor(s) and the price offers are indicated.  </w:t>
        <w:br/>
        <w:t xml:space="preserve">126. The customer allocation took two forms:  </w:t>
        <w:br/>
        <w:t xml:space="preserve">- a non-aggression pact regarding the least price-sensitive clients, which freezes the initial positions of each distributor;  </w:t>
        <w:br/>
        <w:t xml:space="preserve">- cover offers to steer the choices of the most price-sensitive clients towards the designated distributor.  </w:t>
        <w:br/>
        <w:t xml:space="preserve">The customer allocation in the form of a non-aggression pact  </w:t>
        <w:br/>
        <w:t xml:space="preserve">127. The handwritten notes of Mr. Michel P..., contemporaneous with the facts and seized during the search and seizure operations on April 26, 2007, highlight a coordination of price offers from Brenntag, Districhimie (Quaron), and RPC-Clément (Solvadis) at strictly identical levels (references 2840, 2841, 2846 to 2848, and 2861).  </w:t>
        <w:br/>
        <w:t xml:space="preserve">128. Reference 2866 concerning the clients Smurfit Socar and Cartonnerie de Gravelines contains the mention: "make 780 (same as Distri)" (reference 2866).  </w:t>
        <w:br/>
        <w:t xml:space="preserve">129. It appears from the annotations that Brenntag and Districhimie (Quaron) agreed to propose an identical price. By email dated June 14, 2010, and minutes, Mr. Michel P... confirmed that the client Cartonnerie de Gravelines (Gravelière in the email) was the subject of the consultation practice and, by minutes, indicated that the same applies to the client Smurfit Socar (references 34823 to 34826, 34086).  </w:t>
        <w:br/>
        <w:t xml:space="preserve">130. At reference 2864, concerning the client Teinturerie des Francs, one can read: "all agree on 85."  </w:t>
        <w:br/>
        <w:t xml:space="preserve">131. The same applies to reference 2865 relating to the client Vallys, which mentions: "make 55 (all 3)."  </w:t>
        <w:br/>
        <w:t>132. The annotations of reference 2865 concerning the client Delalys finally attest to the existence of a non-aggression pact: "give 380 all 3."</w:t>
      </w:r>
    </w:p>
    <w:p>
      <w:r>
        <w:t xml:space="preserve">133. Thus, Brenntag, Districhimie (Quaron), and RPC-Clément (Solvadis) neutralize competition and freeze their respective market shares for the least price-sensitive clients.  </w:t>
        <w:br/>
        <w:t xml:space="preserve">The customer allocation in the form of cover offers  </w:t>
        <w:br/>
        <w:t xml:space="preserve">134. Other handwritten notes from Mr. Michel P... that do not reference Holvoet contain indications transcribing cover offers between Brenntag, RPC-Clément (Solvadis), and Districhimie for the same period and concerning caustic soda. These cover offers allowed the implementation of the customer allocation decided among the three competitors for the most price-sensitive clients.  </w:t>
        <w:br/>
        <w:t xml:space="preserve">135. This includes the following notes:  </w:t>
        <w:br/>
        <w:t xml:space="preserve">- the annotations concerning the client Valaen: "Clément 8394 cover 980" (reference 2866);  </w:t>
        <w:br/>
        <w:t xml:space="preserve">- the annotations concerning the client St Gobain:  </w:t>
        <w:br/>
        <w:t xml:space="preserve">"Cover...  </w:t>
        <w:br/>
        <w:t xml:space="preserve">Caustic soda 65 Clément + distri 69  </w:t>
        <w:br/>
        <w:t xml:space="preserve">Bleach BB... 198 Clément + distri 77  </w:t>
        <w:br/>
        <w:t xml:space="preserve">A. phosphor give back 3250 (Clément) 3200)  </w:t>
        <w:br/>
        <w:t xml:space="preserve">Urea 175 (all)  </w:t>
        <w:br/>
        <w:t xml:space="preserve">HCL make 93 Clément 90 Distri 86  </w:t>
        <w:br/>
        <w:t xml:space="preserve">Caustic soda BB 1280 in F (cover)  </w:t>
        <w:br/>
        <w:t xml:space="preserve">Ferric confirm 98 (Clément 110)" (reference 2866);  </w:t>
        <w:br/>
        <w:t xml:space="preserve">- the annotations concerning the client Bera:  </w:t>
        <w:br/>
        <w:t xml:space="preserve">"Brenntag Clément Distri  </w:t>
        <w:br/>
        <w:t xml:space="preserve">Bera make 65 62 65" (reference 2840);  </w:t>
        <w:br/>
        <w:t xml:space="preserve">- the annotations concerning the client Rozendal: "485 Clément: make 550" (reference 2865);  </w:t>
        <w:br/>
        <w:t xml:space="preserve">- the minutes of the meeting on September 29, 1999, which contain annotations regarding cover offers for several clients (references 2863 to 2866).  </w:t>
        <w:br/>
        <w:t xml:space="preserve">On price coordination  </w:t>
        <w:br/>
        <w:t xml:space="preserve">136. Among the handwritten minutes of meetings from Mr. Michel P..., some also contain numerous indications of identical price offers to the three distributors and mentions regarding increases in supplier prices for caustic soda that were to be passed on to clients in a coordinated manner (references 2846, 2860, and 2877).  </w:t>
        <w:br/>
        <w:t xml:space="preserve">137. This price coordination also emerges from various statements, notably the following:  </w:t>
        <w:br/>
        <w:t>- Mr. Gilles O... specified that "from 1998 until mid-2001, Brenntag, Clément (which became Solvadis), and Districhimie (which became Quaron) met (...), to exchange information on prices and to allocate clients for caustic soda" (references 11974 to 11976);</w:t>
      </w:r>
    </w:p>
    <w:p>
      <w:r>
        <w:t xml:space="preserve">- Mr. Philippe S... confirmed that "according to [his] memory, from 1999 to early 2001, there were discussions between Brenntag, Districhimie, and Clément which became Solvadis regarding caustic soda. (...) It was about discussing prices, setting floor prices for the sale of caustic soda, and allocating clients" (references 13361 to 13363);  </w:t>
        <w:br/>
        <w:t xml:space="preserve">- Mr. Jean-Pierre N... stated that he was "aware of such practices that only concerned caustic soda and consisted, according to my recollection, of setting floor prices between 1998-1999 and 2000-2001, between Brenntag, Districhimie, and Solvadis. These practices were implemented to 'regularize' the market subject to fluctuations in raw material prices" (references 14652 to 14654);  </w:t>
        <w:br/>
        <w:t xml:space="preserve">- Ms. Claire U... stated that "the following themes were discussed: payment terms, the principle of billing technical costs, the passing on of supplier price increases" (references 34079 to 34081);  </w:t>
        <w:br/>
        <w:t xml:space="preserve">- Mr. Jean-Marc Q... confirmed having discussed "about thirty clients (...) We agreed on the price level to apply based on the packaging and the location where the product was delivered" (references 35668 to 35671).  </w:t>
        <w:br/>
        <w:t xml:space="preserve">- Mr. Jean-Marc R... stated: "When I took over as site manager in Lille to replace Mr. J-M Q..., he informed me of the practices. This allowed me to better understand the instructions that Mr. Q... gave me when I was a sales representative. He indicated floor price levels that were high to win contracts" (references 34827 to 34830).  </w:t>
        <w:br/>
        <w:t xml:space="preserve">d) The products concerned by the practices  </w:t>
        <w:br/>
        <w:t xml:space="preserve">138. While caustic soda, which is a product generating large sales volumes and on which Holvoet practiced aggressive pricing, was the main subject of the consultation, other mineral chemistry products were also discussed among competitors (references 700, 06/0075 AC, and 23029).  </w:t>
        <w:br/>
        <w:t xml:space="preserve">139. Thus, the aforementioned handwritten notes of Mr. Michel P... mainly transcribe telephone contacts and meetings between the three distributors regarding the determination of prices to be offered to clients to ensure the allocation of clientele concerning caustic soda.  </w:t>
        <w:br/>
        <w:t xml:space="preserve">140. However, some of these handwritten notes highlight that the three distributors also concurrently discussed, in a less systematic manner, other mineral chemistry products such as potassium hydroxide, HCL (hydrochloric acid), bleach, liquid urea, borax, phosphoric acid, ferric chloride, H2O2, alkali, salt, calcium chloride, and calcium sulfate (references 2842, 2844, 2848, 2853, 2859, and 2868).  </w:t>
        <w:br/>
        <w:t xml:space="preserve">e) The clients concerned by the practices  </w:t>
        <w:br/>
        <w:t>141. The customer allocation practice in the northern zone consisted, on the one hand, of freezing any competition among distributors regarding the least price-sensitive clients and, on the other hand, of organizing a customer sharing through cover offers for the most price-sensitive clients. Furthermore, the clients concerned by the practice mainly purchased caustic soda, which was the most important product of the sites involved in the consultation. Some elements mentioned above show that these same clients also placed orders for other mineral chemistry products.</w:t>
      </w:r>
    </w:p>
    <w:p>
      <w:r>
        <w:rPr>
          <w:b/>
        </w:rPr>
        <w:t>[Pages 37–39]</w:t>
      </w:r>
    </w:p>
    <w:p>
      <w:r>
        <w:t xml:space="preserve">142. Furthermore, the assigned objectives of stabilizing market positions and restoring margins for the sites concerned, as outlined in the leniency applications, particularly by Brenntag (references 14652 to 14654), could only be achieved on the condition that the practices covered almost all sales of the sites in question.  </w:t>
        <w:br/>
        <w:t xml:space="preserve">143. Finally, Solvadis and its parent companies did not contest the notified grievances, which concern a collusion practice that did not target specific clients.  </w:t>
        <w:br/>
        <w:t xml:space="preserve">f) The implementation modalities of the practices  </w:t>
        <w:br/>
        <w:t xml:space="preserve">On the holding of regular meetings between Brenntag, Districhimie, and RPC Clément  </w:t>
        <w:br/>
        <w:t xml:space="preserve">144. All participants in the consultation stated that they had participated in meetings between competitors. These corresponded to the price adjustments of the three participants, adjustments that occurred approximately every quarter.  </w:t>
        <w:br/>
        <w:t xml:space="preserve">145. Regarding Brenntag, Mr. Gilles O... stated that "[f]rom 1998 until mid-2001, Brenntag, Clément (which became Solvadis), and Districhimie (which became Quaron) met (outside the companies, in hotels for example) to exchange information on prices and to allocate clients for caustic soda (...) I participated in some meetings, with Mr. Michel P... and Mr. Philippe S..." (references 11974 to 11976).  </w:t>
        <w:br/>
        <w:t xml:space="preserve">146. The participation of RPC-Clément (Solvadis) is confirmed by the statements of Mr. Jean-Marc Q... who indicated that he participated "in meetings with my competitors namely Brenntag North represented by Mr. Gilles O... or Mr. Michel P..., occasionally the site manager from Somme, the company Districhimie represented by Ms. Claire U..., Mr. T... came occasionally (...) These meetings were held in restaurants in the Lille region" (references 35668 to 35671).  </w:t>
        <w:br/>
        <w:t xml:space="preserve">147. Finally, for Districhimie, Ms. Claire U... explained that "[a]t the request of my hierarchy, I attended meetings about 2 or 3 in the north in a restaurant between 1999-2000 in the presence of representatives from Brenntag (Mr. O..., perhaps Mr. N... once), Solvadis (Mr. Q...)" (references 34079 to 34081). Subsequently, Ms. Claire U... estimated that "these meetings took place at each price change of bases/acids, namely every quarter" (references 35867 to 35869).  </w:t>
        <w:br/>
        <w:t xml:space="preserve">148. In addition to these statements, the consultation meetings between the three companies are established by handwritten notes from Mr. Michel P..., as indicated:  </w:t>
        <w:br/>
        <w:t xml:space="preserve">- references 2855 to 2857: "Meeting of 25/03/99," concerning prices of Brenntag, Districhimie, and RPC-Clément (Solvadis) to numerous clients and the following indications: "gives," "give," "gives 86 to take order," "give 84 to counter Holvoet";  </w:t>
        <w:br/>
        <w:t xml:space="preserve">- reference 2843, (without year indication) relating to the prices of RPC-Clément (Solvadis) and Districhimie for 23 clients and containing the following terms: "Clément takes an order at 64," "respond to 80" or "give";  </w:t>
        <w:br/>
        <w:t xml:space="preserve">- reference 2844: "next meeting December 17" placed before the date of October 26, 1998.  </w:t>
        <w:br/>
        <w:t xml:space="preserve">On the phone calls between Brenntag, Districhimie, and RPC-Clément  </w:t>
        <w:br/>
        <w:t xml:space="preserve">149. In addition to the regularly organized meetings, participants sometimes exchanged information by phone. These contacts primarily allowed for verifying the accuracy of the prices proposed by competitors and, incidentally, for allocating clients.  </w:t>
        <w:br/>
        <w:t xml:space="preserve">150. Handwritten notes from Mr. Michel P..., contemporaneous with the events, allow for tracing certain phone calls with Districhimie, as illustrated by the following references:  </w:t>
        <w:br/>
        <w:t xml:space="preserve">- reference 2869: "Cart Gondardennes Clément Ok for 64 Distri: did not respond Saw Distri: would have had the order at 65";  </w:t>
        <w:br/>
        <w:t xml:space="preserve">- reference 2849: "on 6/1/99 Cartonnerie de Gravelines, 85 instead of 90,  Call U..." and "4/2/99 Saw U... regarding Sisal in Lumbres."  </w:t>
        <w:br/>
        <w:t xml:space="preserve">151. Other handwritten notes from Mr. Michel P... allow for tracing certain phone calls with RPC-Clément (Solvadis) as evidenced by:  </w:t>
        <w:br/>
        <w:t xml:space="preserve">- reference 2869: "17/12 call Mr. Q... (Clément) Heineken." In light of the other information on this document, these mentions are dated December 17, 1997;  </w:t>
        <w:br/>
        <w:t xml:space="preserve">- the mentions of reference 2875: "30/1 call Mr. Q... Montpellier Lille Distri 90 DC 92 ok let's go back to 90 Clément 92."  </w:t>
        <w:br/>
        <w:t xml:space="preserve">g) Monitoring of practices  </w:t>
        <w:br/>
        <w:t xml:space="preserve">152. The parties also ensured the design and implementation of the identified practices. In particular, Brenntag took the initiative to implement the practices in the northern zone and proceeded through frequent phone calls to the other two members of the consultation, monitoring the proper application of the decisions made jointly.  </w:t>
        <w:br/>
        <w:t xml:space="preserve">153. Thus, Brenntag called Districhimie by phone in the following cases:  </w:t>
        <w:br/>
        <w:t xml:space="preserve">− "Brasserie de Saint Omer (...) saw Distri (Térien) (...) Distri takes calcium chloride 25T/year, calcium sulfate, salt (...) Clément + DC do not quote these products" (reference 2868);  </w:t>
        <w:br/>
        <w:t xml:space="preserve">- "12/1/98 Cart of Gondardennes (...) Distri: did not respond (...) Saw distr: had the order at 65" (reference 2869);  </w:t>
        <w:br/>
        <w:t xml:space="preserve">- "new phone number 12 Dec change 03 20 17 57 00 Ms. Thérien" (reference 2845).  </w:t>
        <w:br/>
        <w:t xml:space="preserve">154. In this regard, Mr. Michel P... explained that "[i]n the context of information exchanges between competitors, I had to call Ms. U..." (references 34823 to 34826).  </w:t>
        <w:br/>
        <w:t xml:space="preserve">155. In the northern zone, Brenntag also conducted verifications with certain clients and the other two participants in the practices. The notes and statements of Mr. Michel P... attest that Brenntag called its partners several times to ensure that they were applying the directives decided jointly during the meetings.  </w:t>
        <w:br/>
        <w:t xml:space="preserve">156. As evidenced by the following notes, Brenntag called certain clients to ensure the price proposals decided jointly and effectively formulated by Districhimie and RPC-Clément (Solvadis):  </w:t>
        <w:br/>
        <w:t xml:space="preserve">- 10/07/1998: "nordys  caustic soda 79 Distri is at 75  goes up to 80 said the truth" (reference 2842).  </w:t>
        <w:br/>
        <w:t xml:space="preserve">- 10/07/1998: "Bellier in a first instance Clément: raises caustic soda price H202 by 15/8…. said the truth" (reference 2842).  </w:t>
        <w:br/>
        <w:t xml:space="preserve">− "Desailles: we are at 98 Clément has not raised still at 85" (reference 2842).  </w:t>
        <w:br/>
        <w:t xml:space="preserve">− the mentions: "on 6/1/99 Cartonnerie de Gravelines, 85 instead of 90,  Call U..." (reference 2849).  </w:t>
        <w:br/>
        <w:t xml:space="preserve">157. Mr. Michel P... confirmed that these calls were part of the monitoring of compliance with the consultation: "In the context of information exchanges between competitors, we had defined a price to apply to the Cartonnerie de Gravelines at the previous meeting. Districhimie quoted 85 instead of 90, so we noticed that Districhimie had not communicated this information to its salespeople and was therefore not complying with what had been defined" (references 34823 to 34826).  </w:t>
        <w:br/>
        <w:t xml:space="preserve">158. Furthermore, Brenntag directly called RPC-Clément (Solvadis) and Districhimie (Quaron) to remind them of the necessity to respect the decisions made jointly, as evidenced by the following notes:  </w:t>
        <w:br/>
        <w:t xml:space="preserve">− the undated mentions of reference 2840 relating to information exchanges and decisions on allocation between Brenntag, RPC-Clément (Solvadis), and Districhimie (Quaron) concerning about fifteen common clients: "Brenntag Clément Distri Roquette W make 66 68 65 ?? Ms. U... reminds";  </w:t>
        <w:br/>
        <w:t xml:space="preserve">− the mentions of reference 2869: "17/12 call Mr. Q... (Clément) Heineken (...) Heineken H202 we were at 415 (Clément quoted 280) Ok raises its prices to 480."  </w:t>
        <w:br/>
        <w:t xml:space="preserve">159. In light of the other information on this document, these mentions are dated December 17, 1997. Mr. Michel P... stated in this regard that "Brenntag called Mr. Q... because RPC-Clément had taken an order from us at very low prices at Heineken. We wanted to know what was happening" (reference 34826).  </w:t>
        <w:br/>
        <w:t xml:space="preserve">h) Cessation of practices  </w:t>
        <w:br/>
        <w:t>160. According to the explanations provided by Brenntag in its leniency application, the denounced practices related to caustic soda between Brenntag, Districhimie (Quaron), and RPC-Clément (Solvadis) ended in July 2001, due to tensions that arose between Brenntag</w:t>
      </w:r>
    </w:p>
    <w:p>
      <w:r>
        <w:rPr>
          <w:b/>
        </w:rPr>
        <w:t>[Pages 40–42]</w:t>
      </w:r>
    </w:p>
    <w:p>
      <w:r>
        <w:t>practices.</w:t>
      </w:r>
    </w:p>
    <w:p>
      <w:r>
        <w:t xml:space="preserve">et Districhimie. It had become impossible for Brenntag to continue to reach agreements with Districhimie. The management of Brenntag would then have decided to cease the practices (reference 701, 06/0075 AC). </w:t>
        <w:br/>
        <w:t xml:space="preserve">161. For his part, Mr. Stéphane V..., general director in 2001 of Districhimie, states: "A few months after my hiring at Districhimie, my purchasing manager, who had been in place for 16 years, informed me that she was regularly meeting with sales managers from Brenntag North and Brenntag Picardie and Solvadis North, with the aim of agreeing on price levels to be practiced with customers. This was in September or October 2001. I instructed her to immediately cease these unfair practices and to put an end to all contacts with our competitors. She left the company a few months later" (references 11942 to 11945). </w:t>
        <w:br/>
        <w:t xml:space="preserve">162. No material evidence allows for the demonstration of a continuation of the practices in the northern zone beyond September 2001. </w:t>
        <w:br/>
        <w:t xml:space="preserve">4. THE PRACTICES IMPLEMENTED BY BRENNTAG FROM ITS SITES IN CHASSIEU (69), BY MARCE (BRENNTAG) FROM ITS SITE IN ANDANCE (07), BY LAMBERT-RIVIÈRE (UNIVAR) FROM ITS SITE IN PIERRE BÉNITE (69), BY VAISSIÈRE-FAVRE (UNIVAR) FROM ITS SITES IN GENAY, LYON GERLAND, AND GENAS (69), AND BY QUARRÉCHIM (UNIVAR) FROM ITS SITE IN GENAS (69) </w:t>
        <w:br/>
        <w:t xml:space="preserve">163. In their respective leniency applications, Brenntag and Univar denounced practices of consultation between them, from their respective sites located in the Rhône-Alpes region (references 573 to 582, 06/0075 AC, and 569 to 579, 06/0092 AC). </w:t>
        <w:br/>
        <w:t xml:space="preserve">a) The origin of the practices </w:t>
        <w:br/>
        <w:t xml:space="preserve">164. Univar (Vaissière-Favre, Lambert-Rivière, and Quarréchim) and Brenntag agree on the holding, in Paris in the fall of 1998 at the Novotel de Bercy, of a meeting to launch the practices in the Rhône-Alpes region "in the presence of representatives from the companies Brenntag, Vaissière-Favre, Lambert-Rivière, and Quarréchim" (references 573 to 582, 06/0075 AC). Present at this meeting were: </w:t>
        <w:br/>
        <w:t xml:space="preserve">For Brenntag: </w:t>
        <w:br/>
        <w:t xml:space="preserve">- Mr. Olivier Z..., member of the management committee of Brenntag, regional director of the southern region including the Rhône-Alpes, Bourgogne, Dauphiné, Méditerranée, Côte d’Azur, Toulouse, and Bordeaux sites, and director of the Rhône-Alpes site from 1997 to 2007; </w:t>
        <w:br/>
        <w:t xml:space="preserve">- Mr. Daniel X..., chairman of the management board of Brenntag. </w:t>
        <w:br/>
        <w:t xml:space="preserve">For Vaissière-Favre (Univar): </w:t>
        <w:br/>
        <w:t xml:space="preserve">- Mr. Jean-Jacques W..., chairman and CEO of the Vaissière-Favre group. </w:t>
        <w:br/>
        <w:t xml:space="preserve">For Lambert-Rivière (Univar): </w:t>
        <w:br/>
        <w:t xml:space="preserve">- Mr. Gilles 1..., head of sales for France at the Lambert-Rivière headquarters from 1998 to 2000, then logistics director from 2001 to 2005; </w:t>
        <w:br/>
        <w:t xml:space="preserve">- Mr. François-Xavier 2..., sales director in 1998 then deputy general director from 1999 at Lambert-Rivière. </w:t>
        <w:br/>
        <w:t xml:space="preserve">For Quarréchim (Univar): </w:t>
        <w:br/>
        <w:t xml:space="preserve">- Mr. Michel 3..., general director of Gazéchim, deputy general director then chairman and CEO of Quarréchim; </w:t>
        <w:br/>
        <w:t xml:space="preserve">- Mr. Jean-Claude 4..., responsible for all commercial activities of Gazéchim then regional director for the Centre zone. </w:t>
        <w:br/>
        <w:t xml:space="preserve">165. The objective of this meeting was to end the price war initiated by Brenntag, mentioned previously, and to improve the results of each of the sites (references 13312 to 13314, and 22787 to 22790). The participants agreed on the principle of a consultation on the prices of chemical commodities and the freezing of market shares of each of the two companies active in Rhône-Alpes (or "Centre," according to Univar's terminology). The expansion of the circle of participants in the practices in question to Marce (Brenntag) would have occurred at the end of this meeting. </w:t>
        <w:br/>
        <w:t xml:space="preserve">166. Mr. Daniel X..., chairman of Brenntag at the time of the practices, stated: "In the fall of 1998, Olivier Z... and I had discussions about the market and the interest of acquiring Vaissière; it was to double the size of Brenntag locally and put it on par with Univar in this region. Olivier Z... then spoke to me about a meeting, without specifying the agenda, that was taking place in Paris among competitors, which did not seem abnormal to me (general interest issues of the sector could be discussed there), where Mr. W... would be present with whom I could discuss the acquisition of his company by Brenntag. Upon arriving at the meeting, I discovered that, in fact, this meeting was an attempt to pacify the market. I left this meeting before it ended and agreed with Mr. W... that we would meet later to talk about the acquisition of his company by Brenntag (...)" (references 13318 to 13322). </w:t>
        <w:br/>
        <w:t xml:space="preserve">167. Mr. Olivier Z..., director of the southern region at Brenntag, confirms these elements, except for the initiative of this practice, which he attributes to Lambert-Rivière (Univar): "The first agreement, in which I participated, took place in Lyon at the end of the summer of 1998, while the results of Brenntag Rhône-Alpes were very poor (as were those of our main regional competitors, such as Quarréchim, Lambert-Rivière, Vaissière), and while Jean-Marc Y..., president of Brenntag since 1994 and on his way out (Daniel X... succeeded him in the fall of 1998), had left a results-oriented culture under strong pressure. Gilles 1..., director of the Lyon site of Lambert-Rivière, which became Univar, called me to propose meeting the new director of Quarréchim (which became Univar) during a lunch, during which he suggested that we agree to increase our margins. The director of Vaissière, contacted subsequently, initially refused to participate, which did not allow for the effective implementation of the agreement (given the importance of this competitor), then ultimately reestablished contact with us to indicate that he accepted this agreement at the end of 1998. The first meeting took place at the end of 1998 (...) I informed Daniel X..., then chairman, of these agreements, and he was present at a meeting during which the start of the practice was formalized" (references 14669 to 14674, and 32760 to 32764). </w:t>
        <w:br/>
        <w:t xml:space="preserve">168. As indicated by Univar in its leniency application, these consultations would have been implemented at the local level with the "blessing of the Parisian management" of the various companies (reference 573, 06/0092 AC). </w:t>
        <w:br/>
        <w:t xml:space="preserve">b) The participants in the practices </w:t>
        <w:br/>
        <w:t xml:space="preserve">169. The leniency applications, the material elements communicated by Univar, particularly regarding the practices related to solvents, as well as the elements collected during the investigation have established the participation of Brenntag, Marce (Brenntag), Lambert-Rivière (Univar), Vaissière-Favre (Univar), and Quarréchim (Univar) (references 46 to 49, 06/0092 AC, and 128 to 393, 06/0092 AC). </w:t>
        <w:br/>
        <w:t xml:space="preserve">170. It emerges from the elements communicated by the leniency applicants that the participants in the various meetings and exchanges between the companies involved were the following persons (references 45, and 569 to 579, 06/0092 AC): </w:t>
        <w:br/>
        <w:t xml:space="preserve">For Brenntag </w:t>
        <w:br/>
        <w:t xml:space="preserve">- Mr. Olivier Z..., director of the southern region including the Rhône-Alpes, Bourgogne, Dauphiné, Méditerranée, Côte d’Azur, Toulouse, and Bordeaux regions, who also held the position of director of the Brenntag site located in Chassieu from 1997 to 2007, and member of the management committee of Brenntag; </w:t>
        <w:br/>
        <w:t xml:space="preserve">- Mr. Pierre A..., commercial director of the aforementioned Brenntag site in Chassieu. </w:t>
        <w:br/>
        <w:t xml:space="preserve">For Lambert-Rivière (Univar) </w:t>
        <w:br/>
        <w:t xml:space="preserve">- Mr. Gilles 1..., regional sales manager in Lyon, who became logistics manager for Lambert-Rivière; </w:t>
        <w:br/>
        <w:t xml:space="preserve">- Mr. Loïc I..., responsible for the Lyon region of Lambert-Rivière and national head of chemistry who became "Business Manager" and head of "key accounts"; </w:t>
        <w:br/>
        <w:t xml:space="preserve">- Mr. Jérôme 5..., responsible for the Nantes/Bordeaux/Toulouse region for Lambert-Rivière from January 1999; </w:t>
        <w:br/>
        <w:t xml:space="preserve">- Mr. Robert 6..., industry manager; </w:t>
        <w:br/>
        <w:t xml:space="preserve">- Ms. Laurence J..., head of solvent products. </w:t>
        <w:br/>
        <w:t xml:space="preserve">For Quarréchim (Univar) </w:t>
        <w:br/>
        <w:t xml:space="preserve">- Mr. Jean-Claude 4..., responsible for the commercial activity for Gazéchim who became regional director for the Centre zone at Quarréchim; </w:t>
        <w:br/>
        <w:t xml:space="preserve">- Mr. Pascal H..., sales representative at Quarréchim Lyon who successively became head of "key accounts" then head of sales at Univar; </w:t>
        <w:br/>
        <w:t xml:space="preserve">- Mr. Michel 3..., deputy general director who became chairman of the Quarréchim group; </w:t>
        <w:br/>
        <w:t xml:space="preserve">- Ms. Isabelle 7..., sales assistant. </w:t>
        <w:br/>
        <w:t xml:space="preserve">For Vaissière-Favre (Univar) </w:t>
        <w:br/>
        <w:t xml:space="preserve">- Mr. Jean-Jacques W..., chairman and CEO of the Vaissière-Favre group; </w:t>
        <w:br/>
        <w:t xml:space="preserve">- Mr. Michel E..., marketing and sales director for mineral chemistry within the Vaissière-Favre group who became regional director for the Centre zone at Univar; </w:t>
        <w:br/>
        <w:t xml:space="preserve">- Mr. Gilbert 8..., marketing and sales director for solvents for the Vaissière-Favre group until the end of 2002. </w:t>
        <w:br/>
        <w:t xml:space="preserve">For Univar </w:t>
        <w:br/>
        <w:t>171. From 2003, due to the merger of the companies Lambert-Rivière, Vaissière-Favre, and Quarréchim into the Univar entity, the number of individuals involved decreased.</w:t>
      </w:r>
    </w:p>
    <w:p>
      <w:r>
        <w:rPr>
          <w:b/>
        </w:rPr>
        <w:t>[Pages 43–45]</w:t>
      </w:r>
    </w:p>
    <w:p>
      <w:r>
        <w:t>implemented through a systematic allocation of clients among the participating distributors, ensuring that each member maintained their respective market share.</w:t>
      </w:r>
    </w:p>
    <w:p>
      <w:r>
        <w:t>♦ Between 2003 and 2005</w:t>
        <w:br/>
        <w:t>192. During the period from 2003 to 2005, the practice of customer allocation for solvents continued, albeit with fewer participants due to the merger of Lambert-Rivière, Vaissière-Favre, and Quarréchim into Univar. The coordination of customer allocation was still in place, with Univar taking a more dominant role in the market.</w:t>
      </w:r>
    </w:p>
    <w:p>
      <w:r>
        <w:t>193. The parties involved maintained a list of customers and their respective volumes, which were subject to the allocation practice. This allocation was particularly focused on customers who were less loyal and more price-sensitive, ensuring that they were approached systematically by the distributors involved.</w:t>
      </w:r>
    </w:p>
    <w:p>
      <w:r>
        <w:t>194. The meetings held during this period continued to track sales and market shares, with the reference year of 1998 still being used to guide the allocation of customers among the distributors.</w:t>
      </w:r>
    </w:p>
    <w:p>
      <w:r>
        <w:t>195. The documentation provided by both Univar and Brenntag during this period further supports the existence of the customer allocation practice, demonstrating a clear understanding and agreement among the distributors on how to manage their respective market shares.</w:t>
      </w:r>
    </w:p>
    <w:p>
      <w:r>
        <w:t>196. Overall, the evidence indicates that the practice of customer allocation for solvents in the Rhône-Alpes region was a coordinated effort among the distributors, aimed at stabilizing their market positions and ensuring that competition was effectively managed.</w:t>
      </w:r>
    </w:p>
    <w:p>
      <w:r>
        <w:rPr>
          <w:b/>
        </w:rPr>
        <w:t>[Pages 46–48]</w:t>
      </w:r>
    </w:p>
    <w:p>
      <w:r>
        <w:t xml:space="preserve">confirmed by Ms. Laurence J..., former head of solvent products at Lambert-Rivière (Univar), now group marketing manager for solvents at Univar (references 22795 to 22799).  </w:t>
        <w:br/>
        <w:t xml:space="preserve">192. Univar provided three documents related to the customer allocation practice concerning solvents:  </w:t>
        <w:br/>
        <w:t xml:space="preserve"> The table referenced in 46, 06/0092 AC  </w:t>
        <w:br/>
        <w:t xml:space="preserve">193. This table attests to the meticulous tracking of solvent sales by Brenntag, Quarréchim (Univar), Lambert-Rivière (Univar), Vaissière-Favre (Univar), and Marce (Brenntag) to 46 clients, between 1998 and 2001, in order to facilitate the allocation of orders from the concerned clients.  </w:t>
        <w:br/>
        <w:t xml:space="preserve">194. Univar indicated the purpose of this table, namely:  </w:t>
        <w:br/>
        <w:t xml:space="preserve">- "base table allowing to see the market share of each. Based on the indications of the table, orders were taken or not" (reference 43, 06/0092 AC);  </w:t>
        <w:br/>
        <w:t xml:space="preserve">- "A statement of volumes sold by all competitors. Period 1998-2001 by client (...) This statement allowed to set the market shares of each" (references 24754 to 24761, and 33089 to 33092);  </w:t>
        <w:br/>
        <w:t xml:space="preserve">- "Base table covering the years 1998, 1999, 2000, 2001, allowing to see the market share of each company involved with 47 clients from the Centre Est region. Based on the indications of the table, orders were taken or not" (reference 26221).  </w:t>
        <w:br/>
        <w:t xml:space="preserve">195. Mr. Michel E... confirmed the establishment of a customer allocation table between Brenntag and Univar (or their former structures): "Alongside this common rate [the common rate for solvents], there was a list of clients with the allocation of market shares of each from 1998 to 2003" (references 22787 to 22790).  </w:t>
        <w:br/>
        <w:t xml:space="preserve"> The table referenced in 47 and 48, 06/0092 AC  </w:t>
        <w:br/>
        <w:t xml:space="preserve">196. This undated table concerns the allocation of orders from 59 clients between Brenntag, Quarréchim (Univar), Lambert-Rivière (Univar), Vaissière-Favre (Univar), and Marce (Brenntag).  </w:t>
        <w:br/>
        <w:t xml:space="preserve">197. Among these clients, 46 of them are already listed in the previously described table in reference 46, 06/0092 AC. The information in this second table concerns delivery dates and the identity of the distributor(s) responsible for these deliveries.  </w:t>
        <w:br/>
        <w:t xml:space="preserve">198. Regarding the 13 other clients, 7 are "free," meaning they are not subject to the consultation, 3 clients are subject to a one-time allocation for each order placed and must be called due to the mention "such," 1 client has closed its establishment, and another is subject to the "rate." Finally, the mention "delay" has been noted for one last client.  </w:t>
        <w:br/>
        <w:t xml:space="preserve"> The table referenced in 49, 06/0092 AC  </w:t>
        <w:br/>
        <w:t xml:space="preserve">199. This table summarizes the price offers for acetone that were submitted by Brenntag, Lambert-Rivière (Univar), Vaissière-Favre (Univar), during the relevant period, to the client Lamberet who appears in the previous order allocation table and who was to be the subject of a phone call among the members of the consultation in order to coordinate price offers with a view to allocating the orders placed to the designated distributor.  </w:t>
        <w:br/>
        <w:t xml:space="preserve">♦ Between 2003 and 2005  </w:t>
        <w:br/>
        <w:t xml:space="preserve">200. Several reasons have been mentioned to explain the evolution of the practice starting in 2003: the merger of Lambert-Rivière, Vaissière-Favre, and Quarréchim in 2003 into Univar, an investigation by the DGCCRF leading to caution, the increase in Brenntag's market shares despite the initial objective of stabilizing positions acquired in 1998. The mode of operation of the practice evolved towards more discretion and thus, fewer meetings and fewer participants. The allocation practice in the form of "rounds" evolved into a simple freeze of competition in the market. According to Univar's statement in its leniency application, each was now to track its volumes, and whoever "took too much" exceeded the margin level (+10/15 €) and the other then responded at a defined rate. The initial objective of stabilizing the market shares of the members of the consultation was thus preserved. However, the reference base was now the year 2002. A meeting every month and a half then took place to discuss adjustments to be made based on each one's market shares, as well as the rate for solvents and the level of margins per client.  </w:t>
        <w:br/>
        <w:t xml:space="preserve">201. Mr. Daniel X... stated, regarding the customer allocation practice in Rhône-Alpes in the form of a non-aggression pact, that starting in 2003 "[t]hese practices ended with Marce, Caldic Centre, and Platret, but continued with Univar, in order to manage the decline in prices, and thus in a way that was not visible to clients and to Yves 14..., essentially in the form of a non-aggression pact" (references 13318 to 13322).  </w:t>
        <w:br/>
        <w:t xml:space="preserve">202. According to Univar's statement in its leniency application corroborated during the investigation, the monitoring of practices concerning solvents was carried out, starting in 2003, through an application designated "marketing base," which was specific to this company (references 128 to 267, 06/0092 AC). According to Univar, this "marketing base" was updated during each consultation regarding solvents and for each client. Sellers were asked to fill in the base, the distributor who won the orders, the quantities, and the prices. This base thus allowed obtaining a success percentage on the activity and therefore a market share.  </w:t>
        <w:br/>
        <w:t xml:space="preserve">203. The marketing base consists of a file of 80 clients for bulk and packaged solvents, maintained by Univar. On most of the "client" sheets, the market shares for 2002 (the reference year for the market share stabilization practice) of Brenntag, Marce (Brenntag), and Univar were noted. Additionally, the sheet for each client chronologically traces the sales made between 2003 and 2006 with indications of price offers and Univar's gross margin and the identity of the chosen supplier. In some cases, the price offer submitted by the competitor is also indicated. Thus, through these sheets, Univar tracks the evolution of sales made to each of these clients with, as initial information, the position of the members of the consultation with respect to these same clients, which allows it to ensure a follow-up of sales to its clients.  </w:t>
        <w:br/>
        <w:t xml:space="preserve">The allocation of customers for mineral chemistry  </w:t>
        <w:br/>
        <w:t xml:space="preserve">204. The explanations and statements of the two leniency applicants, as well as the contemporaneous documents of the alleged practices submitted by Brenntag, for the years 1998 to 2003, attest for this period to the existence of a customer allocation practice, in the form of a non-aggression pact between Brenntag and Lambert-Rivière (Univar), Vaissière-Favre (Univar), and Quarréchim (Univar), then Univar, for the distribution of mineral chemistry products in the Rhône-Alpes region, aimed at freezing the "client" portfolios of each of the participants in the agreement.  </w:t>
        <w:br/>
        <w:t xml:space="preserve">205. The non-aggression pact consisted of maintaining the positions of each of the members as they existed at the beginning of the alleged practice (the "base allocation" being, for these products, that observed at the end of the year 1998 and then, in a second phase, the year 2002 in order to respect the effective level of sales). Thus, the concerned clients were not served alternately by each distributor, but rather remained allocated to the distributor who supplied them at the beginning of the practices, with the other distributors simply refraining from intervening with these clients.  </w:t>
        <w:br/>
        <w:t xml:space="preserve">206. Among the documents provided by Brenntag, some pieces testify to the customer allocation practices for mineral chemistry in the Rhône-Alpes region at least between January 12, 1999, and December 14, 2003, including, by way of example:  </w:t>
        <w:br/>
        <w:t xml:space="preserve">♦ The document referenced in 599, 06/0075 AC, concerning the client Dousselin (1999)  </w:t>
        <w:br/>
        <w:t xml:space="preserve">207. This document concerns the fax from Dousselin to Brenntag dated February 2, 1999, which indicates the old and new prices of Brenntag for 5 mineral chemistry products, on which handwritten annotations regarding the prices of Vaissière-Favre were noted by an employee of Brenntag (reference 599, 06/0075 AC).  </w:t>
        <w:br/>
        <w:t xml:space="preserve">208. Brenntag's comments were as follows: "The handwritten prices (under the column 'V' for Vaissière) were communicated during a phone contact with W... following a Brenntag Rhône-Alpes offer to the client. The prices proposed by Brenntag Rhône-Alpes are, according to a manager of Brenntag Rhône-Alpes, cover prices: W... most often proposes lower prices because this client is primarily allocated to him" (reference 586, 06/0075 AC).  </w:t>
        <w:br/>
        <w:t xml:space="preserve">♦ The documents referenced in 594 and 593, 06/0075 AC, concerning the client Labo Services (2000-2001)  </w:t>
        <w:br/>
        <w:t xml:space="preserve">209. Reference 594, 06/0075 AC, concerning a price offer from Brenntag to the client Labo-Services dated September 11, 2000, regarding notably 6 mineral chemistry products, contains handwritten annotations by Mr. Pierre A..., relating to the price offers from Brenntag but also from Quarréchim (Univar) and Vaissière-Favre (Univar), with Brenntag's prices being lower than those of the other two companies.  </w:t>
        <w:br/>
        <w:t xml:space="preserve">210. However, Mr. Pierre A... provided the following explanations: "In the case referenced in 594, Mr. 10... made a price proposal without consulting me beforehand. Therefore, these prices are lower than those submitted or that will be submitted by Quarréchim and Favre, which contravenes the prices set in consultation. Informed, I made the upward price adjustments so that this client remains with Quarréchim and Favre" (references 33114 to 33121).  </w:t>
        <w:br/>
        <w:t xml:space="preserve">211. Reference 593, 06/0075 AC, concerning the fax dated September 28, 2001, from Ms. Patricia 11..., sales assistant at Brenntag in Chassieu to Mr. Grégory 10..., sales representative at the same site, regarding the client Labo Services requesting a price proposal, contains the following handwritten annotations: "Position Q+F" (reference 593, 06/0075 AC).  </w:t>
        <w:br/>
        <w:t>212. Mr. Olivier Z... commented on this document as follows: "Q+F means that Brenntag should not compete with Quarréchim and Vaissière-Favre who share the client. Brenntag must therefore cover its competitors" (references 32760 to 32764).</w:t>
      </w:r>
    </w:p>
    <w:p>
      <w:r>
        <w:rPr>
          <w:b/>
        </w:rPr>
        <w:t>[Pages 49–51]</w:t>
      </w:r>
    </w:p>
    <w:p>
      <w:r>
        <w:t xml:space="preserve">♦ The document referenced as 609 concerning the client DMC SA St Jean La Bussière (2001)  </w:t>
        <w:br/>
        <w:t xml:space="preserve">213. This document concerns handwritten notes related to the client DMC that compare the prices of Brenntag and Quarréchim for 16 mineral chemical products (reference 609, 06/0075 AC). Mr. Olivier Z... specified that "[i]t concerns Brenntag's prices in order to cover Quarréchim" (references 32760 to 32764).  </w:t>
        <w:br/>
        <w:t xml:space="preserve">214. Mr. Pierre A... explained that "[t]his client was part of the consultation. These are the prices agreed upon during a consultation meeting. Brenntag and Quarréchim fixed the volumes by product category realized with this client" (references 33114 to 33121).  </w:t>
        <w:br/>
        <w:t xml:space="preserve">♦ The documents referenced as 596 and 598 concerning the client Labojal (2002)  </w:t>
        <w:br/>
        <w:t xml:space="preserve">215. Reference 596, 06/0075 AC, concerns a price offer from Brenntag to the client Labojal, dated March 1, 2002, for "versene 100" at a unit price of €580/T, whereas on that date, for the same client and the same product, Brenntag reported the following handwritten notes (reference 598, 06/0075 AC):  </w:t>
        <w:br/>
        <w:t xml:space="preserve">" B F  </w:t>
        <w:br/>
        <w:t xml:space="preserve">516.80  </w:t>
        <w:br/>
        <w:t xml:space="preserve">1/3/02 580 € 609.80 € ".  </w:t>
        <w:br/>
        <w:t xml:space="preserve">216. Brenntag provided the following explanations: "Favre covers Brenntag Rhône-Alpes by quoting a higher price (€609.80/T). Brenntag Rhône-Alpes quotes at the agreed rate (€580/T)" (reference 586, 06/0075 AC).  </w:t>
        <w:br/>
        <w:t xml:space="preserve">217. Mr. Pierre A... provided the following explanations: "In reference 598, it is my handwriting. These handwritten notes were made after the consultation meeting, it being understood that Brenntag was to win the order. This information was communicated to Mr. 12... so that he could apply it to the client. This client was the subject of the consultation" (references 33114 to 33121).  </w:t>
        <w:br/>
        <w:t xml:space="preserve">218. The practice of freezing competition on mineral chemical products was confirmed by Univar with at least 21 clients (references 33917, and 33922 to 33924).  </w:t>
        <w:br/>
        <w:t xml:space="preserve">d) The products concerned by the practices  </w:t>
        <w:br/>
        <w:t xml:space="preserve">219. The practices of customer allocation based on common price fixing concerned the distribution in the Rhône-Alpes area of chemical commodities (solvents and mineral chemicals) in bulk and packaged.  </w:t>
        <w:br/>
        <w:t xml:space="preserve">220. In its leniency application, Univar states that "[t]he markets concerned remain primarily chemical commodities, and more particularly bulk solvents and mineral chemical products in both consigned and non-consigned drums from the parties' own depots (and not bulk deliveries from producers' sites by whole trucks of 24 tons)" (references 569 to 579, 06/0092 AC).  </w:t>
        <w:br/>
        <w:t xml:space="preserve">221. The documents provided by Univar and Brenntag to attest to the existence of the practices in question also highlight that these practices concerned bulk solvents and packaged in lost drum (FP) and consigned drum (see the marketing database, the copy of common rates, and reference 592, 06/0075 AC).  </w:t>
        <w:br/>
        <w:t xml:space="preserve">e) The clients concerned by the practices  </w:t>
        <w:br/>
        <w:t xml:space="preserve">222. The practices of price coordination for solvents and mineral chemical products concerned all clients of Brenntag, Marce (Brenntag), Lambert-Rivière (Univar), Vaissière-Favre (Univar), and Univar, following the meeting in September 1998, and continued until June 2005.  </w:t>
        <w:br/>
        <w:t xml:space="preserve">223. The practice of customer allocation concerned, for the distribution of solvents, at least the 59 clients listed in the tables provided by Univar to attest to the reality of the customer allocation practice. According to the two leniency applicants, this customer allocation practice would have evolved from June 2003 in the form of a non-aggression pact that, at that time, would have concerned all clients regarding solvents.  </w:t>
        <w:br/>
        <w:t xml:space="preserve">224. The non-aggression pact concerning mineral chemical products involved all clients throughout the duration of the practices.  </w:t>
        <w:br/>
        <w:t xml:space="preserve">225. Finally, considering the objectives assigned to the consultation in terms of market share stabilization and margin restoration described by the leniency applicants, notably by Brenntag (reference 576, 06/0075 AC) and Univar (references 574 to 576, 06/0092 AC), the coordination in the Rhône-Alpes area covered all clients.  </w:t>
        <w:br/>
        <w:t xml:space="preserve">226. It should also be emphasized that Univar did not contest the notified grievances, which concern a practice of customer sharing with Brenntag that targeted all of their respective clientele.  </w:t>
        <w:br/>
        <w:t xml:space="preserve">f) The implementation modalities of the practices  </w:t>
        <w:br/>
        <w:t xml:space="preserve">227. Univar and Brenntag revealed the existence of meetings related to the practices they denounced. They drew up a list of restaurants and hotels where their representatives met (references 45, 06/0092 AC, 573 to 582, 06/0075 AC, and 26206 to 26209). In this regard, several participants in these meetings confirmed their occurrence as well as their secret nature (references 11143 to 11144, 13312 to 13314, and 33114 to 33121). The regularity of the meetings, especially for solvents due to the volatility of their prices, was necessary to ensure compliance with the common objective, namely, the stabilization of the market shares of the participants and the restoration of their margin levels.  </w:t>
        <w:br/>
        <w:t xml:space="preserve">228. In addition to these secret meetings, the leniency applicants denounced the existence of numerous telephone exchanges between them. Furthermore, to ensure greater confidentiality of the practices, the representatives of Brenntag and Univar used dedicated telephone lines for organizing the consultation. Between 2002 and 2005 at least, to allow for regular exchanges between the parties, two employees from both companies (Ms. Isabelle 7..., sales assistant at Univar, Ms. Isabelle 13..., sales assistant at Brenntag) had opened in their names, at the request of their hierarchy, a dedicated functional line for the consultation, to avoid any traces of communication between the two competitors appearing on their respective statements, thus demonstrating their awareness of the prohibited nature of their practices.  </w:t>
        <w:br/>
        <w:t xml:space="preserve">229. In this regard, Mr. Pierre A... confirmed that "[t]here was a dedicated mobile phone for the consultation. The subscription was in the name of Ms. Isabelle 13..., assistant to Mr. Olivier Z.... Mr. Olivier Z... and I used this phone to contact our competitors as part of the consultation. The purpose of this subscription was to prevent it from appearing on the statements of Brenntag Rhône-Alpes" (reference 33116).  </w:t>
        <w:br/>
        <w:t xml:space="preserve">230. In its leniency application, Univar provided the SIM card of the mobile phone that would have been used by one of Univar's employees to exchange information within the framework of the alleged practice. Ms. Isabelle 7..., sales assistant for solvents from the former Quarréchim (Univar), handled a large part of the consultation for Univar (the 3 former structures namely Quarréchim, Lambert-Rivière, and Vaissière-Favre having merged), using a mobile phone outside the company, but dedicated to exchanges with Brenntag.  </w:t>
        <w:br/>
        <w:t xml:space="preserve">231. Brenntag confirmed the use of a mobile phone registered in the name of Ms. Isabelle 13..., assistant to Mr. Olivier Z..., which was used in the context of the denounced practices (references 13855 to 13864). This line was subscribed from December 20, 2002, to December 31, 2005. Ms. Isabelle 13... confirmed all these elements by official report (references 14645 and 14646).  </w:t>
        <w:br/>
        <w:t xml:space="preserve">g) The monitoring of the practices  </w:t>
        <w:br/>
        <w:t xml:space="preserve">232. The meetings and telephone contacts also aimed to verify the proper execution of the practices, to ensure compliance with the stability of volumes and market shares of the various members, and, if necessary, to make the necessary adjustments.  </w:t>
        <w:br/>
        <w:t xml:space="preserve">233. In this regard, the two leniency applicants emphasized the need to organize regular meetings and telephone contacts to verify the proper functioning of the consultation and more particularly the preservation of the volumes and market shares of each of the participants.  </w:t>
        <w:br/>
        <w:t xml:space="preserve">234. Brenntag indicates in this regard that "[t]hese meetings were an opportunity to define a common rate, to control the volume allocations for the past month, to set the modalities for customer allocation for the following month, and more generally to verify compliance with the agreement. Furthermore, and more sporadically, telephone calls could be made between the members of the agreement, notably between two monthly meetings" (reference 576, file 06/0075 AC).  </w:t>
        <w:br/>
        <w:t xml:space="preserve">235. Univar confirmed the occurrence of regular contacts: "In parallel and between the meetings, numerous phone calls were exchanged between the various participants, even between some sellers more informed than others, to settle the details of the functioning of the rounds or to better operate what was not working" (references 569 to 579, 06/0092 AC).  </w:t>
        <w:br/>
        <w:t xml:space="preserve">236. In addition to these statements, the monitoring of the agreement is established by the reports provided by Brenntag, such as the one concerning the client Rochex dated November 30, 1999: "losses of markets in potash soda and caustic soda, sulfuric acid, taken by Vaissière (action with Vay[i]ssière + quotation)" (reference 621, 06/0075 AC).  </w:t>
        <w:br/>
        <w:t xml:space="preserve">237. Mr. Grégory 10..., author of the aforementioned report, provided the following clarifications: "I am the author of the sentence (...) Mr. A... had indicated to me that the client Rochex was reserved for Brenntag Rhône-Alpes, however, during the visit to this client, I realized that W... had taken the markets. I informed Mr. A... so that he could approach Vaissière Favre to resolve the issue: namely, to let us keep the client. This type of dispute was not resolved at the level of the salespeople but by the Sales Directors of each of the competing groups" (references 32908 to 32912).  </w:t>
        <w:br/>
        <w:t>238. He also provided explanations on another report that attests to the monitoring of the consultation:</w:t>
      </w:r>
    </w:p>
    <w:p>
      <w:r>
        <w:rPr>
          <w:b/>
        </w:rPr>
        <w:t>[Pages 52–54]</w:t>
      </w:r>
    </w:p>
    <w:p>
      <w:r>
        <w:t xml:space="preserve">- regarding the visit report concerning the client SDEI dated January 2, 1999, he stated: "Announcement of increases in minerals that the competitors have apparently not applied (...) He is not fooled by the agreements as he deals directly with our suppliers and also knows the distributor selling prices in other regions. Actions to be taken: moderate the increase, ensure that the competitors apply it, and quote the bleach 50" (reference 620, 06/0075 AC).  </w:t>
        <w:br/>
        <w:t xml:space="preserve">239. These two examples show that attempts at deviation were subject to reprimands from Brenntag.  </w:t>
        <w:br/>
        <w:t xml:space="preserve">240. Furthermore, the elements communicated by Univar, such as the aforementioned marketing database, also demonstrate the parties' willingness to monitor the proper conduct of the consultation in the Rhône-Alpes area.  </w:t>
        <w:br/>
        <w:t xml:space="preserve">h) Cessation of practices  </w:t>
        <w:br/>
        <w:t xml:space="preserve">241. The cessation of the alleged practices in Rhône-Alpes definitively occurred during June 2005.  </w:t>
        <w:br/>
        <w:t xml:space="preserve">242. According to Brenntag's statements in its leniency application, following the injunction from Mr. Yves 14..., president of Brenntag, in March 2003, to put an end to all potentially existing practices throughout the national territory and following the competition law training organized in April 2003 by Brenntag's management, the monthly contacts became less frequent and ceased in the summer of 2003 (references 582 and 583, 06/0075 AC, and 14678 to 14692). From autumn 2003, a resumption of consultation took place in the form of a non-aggression pact aimed at maintaining each party's positions. This non-aggression agreement led, again starting in December 2003, to contacts and then meetings primarily between Mr. Pierre A..., commercial director of the Chassieu site for Brenntag, and Mr. Pascal H..., sales manager for the Centre region at Univar. These contacts and exchanges definitively ceased no later than the second quarter of 2005, following a meeting between Mr. Olivier Z..., director of the southern region at Brenntag, and Mr. Michel E..., director of the Centre region at Univar (references 582, 06/0075 AC, and 33100).  </w:t>
        <w:br/>
        <w:t xml:space="preserve">243. The end of practices in the Rhône-Alpes area is also established by Univar's statement in its leniency application (reference 576, 06/0092 AC), the statements of individuals who participated in the agreements at Univar (references 11143 to 11144, and 13312 to 13317), as well as by Mr. Daniel X..., who stated that the practices "were clearly interrupted in 2003. I was surprised and shocked to learn (during the investigations conducted as part of the leniency) that they continued until 2005 in Rhône-Alpes" (references 13318 to 13322).  </w:t>
        <w:br/>
        <w:t xml:space="preserve">244. The statements of Mr. Oliver Z... confirm the cessation of practices during the summer of 2005: "These practices ended at the end of the summer of 2005, under the reiterations of the instruction from Yves 14..., and I instructed Michel E... of my decision to put an end to it during the summer of 2005 (I have no written document proving this meeting) (...) I have no written record of the instructions or reiterations of the instructions from Yves 14..." (references 14669 to 14674).  </w:t>
        <w:br/>
        <w:t xml:space="preserve">245. Indeed, the cessation of the agreement in the Rhône-Alpes area in June 2005 results from the intervention of Mr. Yves 14..., chairman of the management board of Brenntag SA since April 2003. He stated that he "took various measures to identify these practices and to put an end to them. I decided to meet (between April and June 2003) the directors concerned, Olivier Z... and Jean-Yves B..., who confirmed to me the existence of the practices. I asked them to put an end to the practices and I constantly reiterated this request, in meetings or one-on-one with the interested parties" (reference 14680).  </w:t>
        <w:br/>
        <w:t xml:space="preserve">5. PRACTICES IMPLEMENTED BY BRENNTAG FROM ITS TORCY SITE (71) AND BY CALDIC EST FROM ITS BRAZEY-EN-PLAINE SITE (21)  </w:t>
        <w:br/>
        <w:t xml:space="preserve">246. Brenntag reported a consultation between itself and Caldic Est from its Brazey-en-Plaine site (references 261 to 269, 06/0075 AC). This consultation aimed at a customer allocation in the Burgundy area achieved through cover offers.  </w:t>
        <w:br/>
        <w:t xml:space="preserve">a) Origin of the practices  </w:t>
        <w:br/>
        <w:t xml:space="preserve">247. According to Brenntag's statement, a meeting took place on June 5, 1998, at the Mercure hotel in Reims between national, regional, or local managers of Brenntag and Caldic Est. The purpose of this meeting was, beyond the consultation on technical costs and instructions, to establish a customer allocation between the two distributors. Following this meeting, a consultation between Brenntag and Caldic Est was established in the Burgundy area. It lasted until June 2003.  </w:t>
        <w:br/>
        <w:t xml:space="preserve">248. In its leniency application, Brenntag provided a single piece of material relating to the presence of Mr. Olivier Z..., director of the southern region at Brenntag, at the launch meeting. This is a copy of the excerpt from Mr. Oliver Z...'s agenda for the period from June 4 to June 6, 1998, which mentions on the date of Friday, June 5, 1998: "Caldic Reims" (reference 337, 06/0075 AC). This document contemporaneous with the events was communicated with the following explanation from Brenntag in its leniency application: "agenda of Olivier Z... – from January 15, 1998, to July 8, 1998 - Appointment - Caldic. Handwritten note on June 5, 1998, at 9 a.m.: Caldic Reims. This meeting held between Caldic and Brenntag marks the 'kick-off' of the agreement in Burgundy" (reference 317, 06/0075 AC).  </w:t>
        <w:br/>
        <w:t xml:space="preserve">Initiative of the June 5, 1998 meeting in Reims  </w:t>
        <w:br/>
        <w:t xml:space="preserve">249. Brenntag did not specify the identity of the person who took the initiative for the June 5, 1998 meeting. However, it appears from the reading of the minutes of its representatives, Mr. Olivier Z..., director of the southern region at Brenntag, and Mr. Paul 15..., director of the Brenntag site in Torcy, that this was an initiative of Brenntag (references 14658 to 14660, and 32760 to 32764).  </w:t>
        <w:br/>
        <w:t xml:space="preserve">The companies and individuals who participated in the June 5, 1998 meeting in Reims  </w:t>
        <w:br/>
        <w:t xml:space="preserve">250. The following participated in the June 5, 1998 meeting:  </w:t>
        <w:br/>
        <w:t xml:space="preserve">For Brenntag:  </w:t>
        <w:br/>
        <w:t xml:space="preserve">- Mr. Olivier Z..., director of the southern region, encompassing the Rhône-Alpes, Burgundy, Dauphiné, Mediterranean, Côte d'Azur, Toulouse, and Bordeaux areas, and  </w:t>
        <w:br/>
        <w:t xml:space="preserve">Mr. Paul 15..., director of the Torcy site;  </w:t>
        <w:br/>
        <w:t xml:space="preserve">- Mr. Jean-Pierre N..., director of the northern region, encompassing the Ardennes, Lorraine, north, and Picardy areas;  </w:t>
        <w:br/>
        <w:t xml:space="preserve">- Messrs. Gilles O..., Bernard 16..., and Jean 17..., respectively directors of the northern, Lorraine, and Ardennes sites.  </w:t>
        <w:br/>
        <w:t xml:space="preserve">For Caldic Est:  </w:t>
        <w:br/>
        <w:t xml:space="preserve">- Mr. Christian 18..., general director;  </w:t>
        <w:br/>
        <w:t xml:space="preserve">- Mr. Serge 19..., commercial director of the Reims, Nancy, and Brazey-en-Plaine depots;  </w:t>
        <w:br/>
        <w:t xml:space="preserve">- Messrs. Michel 20..., David 21..., and Jean-Louis 22..., sales representatives.  </w:t>
        <w:br/>
        <w:t xml:space="preserve">251. Messrs. Olivier Z... and Paul 15... confirmed the presence of the representatives of Caldic Est as well as those of Messrs. Jean-Pierre N..., Gilles O..., Bernard 16..., and Jean 17... at the June 5, 1998 meeting in Reims (references 14658 to 14660, and 32760 to 32764).  </w:t>
        <w:br/>
        <w:t xml:space="preserve">252. Messrs. Michel 20..., David 21..., and Jean-Louis 22..., from Caldic Est, after initially denying it, confirmed their presence, as well as that of Brenntag and the other representatives of Caldic Est at this meeting (references 32880 to 32883, 32924 to 32933, and 34932 to 34933).  </w:t>
        <w:br/>
        <w:t xml:space="preserve">The purpose of the June 5, 1998 meeting in Reims  </w:t>
        <w:br/>
        <w:t xml:space="preserve">253. In its note regarding the collusion practices in the Burgundy area attached to its leniency application, Brenntag specified, in point 2 concerning "the origin of the agreement between Brenntag Burgundy, Caldic, and Univar," that the agreement consisted "of customer allocations, notably through the exchange of information, and price coordination, initially and primarily between Brenntag Burgundy and Caldic (...) the agreement would have started with a meeting organized at the Mercure hotel in Reims (51) in 1998, presumably on June 5, 1998, if one refers to document 1 [reference 337, 06/0075 AC] noted on that date in the agenda of an employee of Brenntag Rhône-Alpes. The objective of this meeting was to connect the representatives of Brenntag Burgundy and Caldic Est in order to organize their future relations in the main areas where Caldic Est operates, namely in the Picardy, Ardennes, Lorraine, and Burgundy areas."  </w:t>
        <w:br/>
        <w:t xml:space="preserve">254. Regarding the purpose of this meeting, Mr. Paul 15... stated that it was "presented to us as an introductory meeting, so that we could get to know each other and then agree on the ground. Oliver Z..., who chaired the meeting, as well as Jean-Pierre N... and the representatives of Caldic, encouraged the participants to meet 'on the ground' to agree on certain clients. The aim was to introduce and connect the representatives of Caldic with the representatives of Brenntag in order to organize potential future relations in the main areas where Caldic was active (...) The terms of the agreements were not discussed there (...) For my part, I can confirm that following this meeting, Brenntag Burgundy indeed reached an agreement with Caldic Est to allocate clients (...) After this June 1998 meeting, I did indeed meet Caldic Est about three times a year to agree on a few clients" (references 14658 to 14660).  </w:t>
        <w:br/>
        <w:t xml:space="preserve">255. Mr. Olivier Z... specified that "[d]uring this meeting we considered not to aggress each other. My presence was justified by the fact that the Burgundy region, of which I was the regional director, was adjacent to the northern region" (references 32760 to 32764). Indeed, according to Brenntag's internal division, these areas are contiguous.  </w:t>
        <w:br/>
        <w:t>256. The participants from Caldic Est at the June 5, 1998 meeting do not confirm Brenntag's statements regarding the purpose of this meeting. The statements of Messrs. Michel 20..., David 21..., and Jean-Louis 22..., at that time all three sales representatives within Caldic Est and who acknowledged attending this meeting, only mention issues of security, billing of deposit fees, and technical costs (references</w:t>
      </w:r>
    </w:p>
    <w:p>
      <w:r>
        <w:rPr>
          <w:b/>
        </w:rPr>
        <w:t>[Pages 55–57]</w:t>
      </w:r>
    </w:p>
    <w:p>
      <w:r>
        <w:t>Est.</w:t>
      </w:r>
    </w:p>
    <w:p>
      <w:r>
        <w:t>278. Un second document, également rédigé par M. Jean-Luc 23..., présente une liste de clients avec des indications sur les volumes et les ajustements nécessaires pour maintenir l'équilibre entre les deux distributeurs (cotes 363 et 364, 06/0075 AC).</w:t>
      </w:r>
    </w:p>
    <w:p>
      <w:r>
        <w:t>279. Brenntag a expliqué que ce document montre comment les volumes étaient ajustés en fonction des besoins de chaque entreprise, ce qui témoigne d'une coordination continue entre Brenntag et Caldic Est pour la répartition des clients (cote 320, 06/0075 AC).</w:t>
      </w:r>
    </w:p>
    <w:p>
      <w:r>
        <w:t>280. M. Jean-Luc 23... a précisé que ces ajustements étaient nécessaires pour s'assurer que chaque distributeur ait une part équitable des clients et des volumes, et que cela faisait partie intégrante de la pratique de répartition mise en place entre les deux entreprises (cotes 32956 à 32964).</w:t>
      </w:r>
    </w:p>
    <w:p>
      <w:r>
        <w:rPr>
          <w:b/>
        </w:rPr>
        <w:t>[Pages 58–60]</w:t>
      </w:r>
    </w:p>
    <w:p>
      <w:r>
        <w:t>Est: "This is the balance of clients shared or reserved between Caldic and Brenntag Bourgogne. It appears that these agreements made no sense and that we were losing tonnages to Caldic (...) The clients shared or reserved in whole or in part listed on this document were as follows: Acrodur (Caldic), CHR de Dijon (Brenntag), IFF, Mig Well (Caldic), Rem (Caldic), Remond (Caldic), Sagem (Caldic), Seb/Selongey (Caldic), Seb Ys/Till (Brenntag), Smurfit Socar (Brenntag), Sndce (Brenntag), Sodim (perhaps) Caldic, Thomson (Caldic). The handwritten annotations regarding Caldic's prices were made either by the client or by Caldic if they concerned shared clients" (references 32956 to 32964).</w:t>
      </w:r>
    </w:p>
    <w:p>
      <w:r>
        <w:t>♦ References 365 to 368, 06/0075 AC</w:t>
      </w:r>
    </w:p>
    <w:p>
      <w:r>
        <w:t>278. A second document consists of a table of tonnages achieved with the same clients as those mentioned above, between 1998 and 2001, with handwritten annotations by Mr. Jean-Luc 23..., regarding Brenntag and Caldic Est prices, with the mention "Caldic coverage 2002" next to the client CHR de Dijon (references 320, and 365 to 368, 06/0075 AC).</w:t>
      </w:r>
    </w:p>
    <w:p>
      <w:r>
        <w:t>279. He specified that this is a working table allowing the tracking of the tonnages actually achieved with the mentioned clients and also identified the clients that were subject to the alleged distribution practice between Brenntag and Caldic Est: "The clients shared or reserved in whole or in part listed on this document were as follows: Acrodur (Caldic), CHR de Dijon (Brenntag), IFF, Mig Well (Caldic), Rem (Caldic), Remond (Caldic), Sagem (Caldic), Seb Selongey (Caldic), Seb Is/Tille (Brenntag), Smurfit Socar (Brenntag), Sodim (perhaps Caldic), Thomson (Caldic)" (references 32956 to 32964).</w:t>
      </w:r>
    </w:p>
    <w:p>
      <w:r>
        <w:t>d) The modalities for implementing the practices</w:t>
      </w:r>
    </w:p>
    <w:p>
      <w:r>
        <w:t>280. The consultation between Brenntag and Caldic Est was organized in the form of regular meetings and telephone calls between the two companies in order to determine common price levels during client tenders and thus to allocate volumes and/or clients. The individuals contacted by Messrs. Jean-Luc 23... and Paul 15... were Messrs. Michel 20... and David 21.... The evidence of these meetings and telephone exchanges consists of the statements of the leniency applicant, the documents he submitted during his request, hearings of Brenntag representatives, as well as additional information provided by these two companies.</w:t>
      </w:r>
    </w:p>
    <w:p>
      <w:r>
        <w:t>281. In its leniency application, Brenntag provided a list of 11 clients with handwritten annotations by Mr. Paul 15..., site manager of Brenntag in Torcy, indicating regular contacts between him and Mr. Michel 20..., a salesperson at Caldic Est, concerning at least these clients: "see Michel if consultation," "see Michel as soon as consultation," "do not make a tender without consulting Michel," "100% Caldic," "consulted Michel," " Michel do not break this price," "cover Michel in borax 10 H20 Bren 3.92 Michel 3.75," "Seen on 26/1/99 with Michel" (references 124 and 412, 06/0075 AC).</w:t>
      </w:r>
    </w:p>
    <w:p>
      <w:r>
        <w:t>The consultation meetings between Brenntag and Caldic Est</w:t>
      </w:r>
    </w:p>
    <w:p>
      <w:r>
        <w:t>282. The various documents and handwritten notes provided by Brenntag in its leniency application, contemporaneous with the facts, attest to the existence of meetings between representatives of Brenntag, notably Mr. Jean-Luc 23..., and Caldic Est, represented by Mr. Michel 20.... They are referred to by the terms "RV" (meeting), "meeting with Caldic," "meeting Michel A," "RDV Michel," or "see Michel."</w:t>
      </w:r>
    </w:p>
    <w:p>
      <w:r>
        <w:t>283. The notes of Mr. Jean-Luc 23... dated June 21, 2001, titled "Preparation meeting with Caldic," list client names (Smurfit, IFF, Acrodur, Unalit, Thomson, Remond, Seb, Dim, Sndce, PFC, St Gobain), products, and the following prices: "June 21, 2001. Preparation meeting Caldic: Soda increase: 15 cents to 20, chlorine: 10 cents, tallow: 10 cents, bleach: 10 cents" (references 173, 334, and 509, 06/0075 AC).</w:t>
      </w:r>
    </w:p>
    <w:p>
      <w:r>
        <w:t>284. The annotations of Mr. Paul 15... mention: "offers 12/98 following RDV Michel 11/12/98." These notes concern clients PFC, Smurfit Socar, CHR Dijon, Seb Is/IS/Tille, Seb Selongey, IFF, Unalit, and Dim, with alternating mentions: "both," "Caldic 1st TR 99," "us," "Caldic," "Caldic 1st semester soda 30%" (references 121 and 415, 06/0075 AC).</w:t>
      </w:r>
    </w:p>
    <w:p>
      <w:r>
        <w:t>285. The handwritten notes of Mr. Jean-Luc 23... reiterating those of Mr. Paul 15... indicate the distribution of clients between Brenntag and Caldic Est and the mention: "Smurfit Socar see Michel end of March" and, for clients Suntec, Sunstrand, MBO, Giepac: "see Michel" (references 129, 413, and 415, 06/0075 AC).</w:t>
      </w:r>
    </w:p>
    <w:p>
      <w:r>
        <w:t>286. The notes of Mr. Paul 15... dated December 18, 2000, concerning several clients, mention: "Meeting Michel A." They specify their identity (Smurfit Socar, IFF, Remond, Acrodur, Unalit, Amora, Thomson, CHR Dijon) and prices by product (references 161 and 446, 06/0075 AC).</w:t>
      </w:r>
    </w:p>
    <w:p>
      <w:r>
        <w:t>287. Mr. Jean-Luc 23... confirmed having had a meeting with Mr. Michel 20..., concerning the mentioned clients: "I recognize my handwriting. I had a meeting, perhaps by phone, with Mr. 20... regarding the different clients shared between Brenntag and Brenntag [material error, correction Caldic]" (references 32956 to 32964).</w:t>
      </w:r>
    </w:p>
    <w:p>
      <w:r>
        <w:t>288. Brenntag provided excerpts from Mr. Jean-Luc 23...'s professional agenda for 1999 highlighting appointments with one of Caldic Est's salespeople in Brazey-en-Plaine, on the following dates: March 26, 1999 ("Preparation meeting Caldic with Sylvie" and annotations regarding clients FPC, FDI, and "call Michel"); March 30, 1999 ("Caldic Michel"); June 17, 1999 ("Michel A"); October 21, 1999 ("restaurant Michel"); December 23, 1999 ("Michel") (references 189, 190, and 430 to 435, 06/0075 AC).</w:t>
      </w:r>
    </w:p>
    <w:p>
      <w:r>
        <w:t>The telephone calls and fax transmissions between Brenntag and Caldic Est</w:t>
      </w:r>
    </w:p>
    <w:p>
      <w:r>
        <w:t>289. Regular telephone calls and sometimes fax transmissions allowed the two distributors to consult with each other. In support of its leniency statement, Brenntag provided internal documents contemporaneous with the facts which, according to it, demonstrate the existence of telephone calls between Brenntag and Caldic Est. Mr. Michel 20... was primarily called, and to a lesser extent, Mr. David 21....</w:t>
      </w:r>
    </w:p>
    <w:p>
      <w:r>
        <w:t>290. Mr. Jean-Luc 23... stated that "in the context of the alleged practices, I called Mr. Michel 20... from Caldic Est who was the only contact I knew within that company. Mr. Paul 15... could also call Mr. 20.... The latter could also call us back (...) I had contacts only with Mr. Michel 20... from Caldic Est (...) I called Mr. 20... because he managed the clients we mentioned within Caldic" (references 32956 to 32964).</w:t>
      </w:r>
    </w:p>
    <w:p>
      <w:r>
        <w:t>291. The documents related to telephone calls and fax transmissions between Brenntag and Caldic Est concern Messrs. Michel 20... and David 21....</w:t>
      </w:r>
    </w:p>
    <w:p>
      <w:r>
        <w:t>Regarding Mr. Michel 20...</w:t>
      </w:r>
    </w:p>
    <w:p>
      <w:r>
        <w:t>292. It emerges from all the handwritten notes of Mr. Jean-Luc 23... taken during the period of the alleged practices, the explanations from Brenntag, and the statements of Mr. Jean-Luc 23..., that he contacted Mr. Michel 20... several times before making decisions regarding prices and order placements during client consultations by phone.</w:t>
      </w:r>
    </w:p>
    <w:p>
      <w:r>
        <w:t>293. Brenntag provided an excerpt from Mr. Jean-Luc 23...'s telephone directory, which includes the name of Mr. Michel 20..., associated with Caldic Est and telephone contact details: "Caldic- Michel 20... (at home) 03 xx xx xx xx -06 xx xx xx xx" (references 327 and 436, 06/0075 AC). The salesperson from Brenntag in Torcy confirmed having "the contact details of Mr. 20... in case of necessity in the context of client distributions" (references 32956 to 32964).</w:t>
      </w:r>
    </w:p>
    <w:p>
      <w:r>
        <w:t>294. Brenntag provided handwritten notes regarding telephone contact details referencing telephone contacts with Mr. Michel 20...: "Caldic brazet [03 xx xx xx xx] Mr. 20... [06 xx xx xx xx]" (reference 498, 06/0075 AC).</w:t>
      </w:r>
    </w:p>
    <w:p>
      <w:r>
        <w:t>295. Brenntag provided various handwritten notes related to different clients and concerning prices, among which is the mention: "Mig Well see with Michel" (reference 369, 06/0075 AC).</w:t>
      </w:r>
    </w:p>
    <w:p>
      <w:r>
        <w:t>296. Brenntag provided a full page of handwritten annotations by Mr. Jean-Luc 23... related to clients including Acrodur and Mig Well, where the following mentions appear: "call Michel Caldic 2/04/99:  Acrodur: Perchlor, fluoro acid follow-up Sylvie?  Mig Well: altene D6 he is offering 6.10 in 2 or 3 months redo an offer" (reference 438, 06/0075 AC).</w:t>
      </w:r>
    </w:p>
    <w:p>
      <w:r>
        <w:t>297. Mr. Jean-Luc 23... confirmed having called Mr. Michel 20... regarding the two mentioned clients: "This is my handwriting. The mention 'call Michel Caldic': I was to call Mr. 20... regarding the two clients mentioned, namely Acrodur and Mig Well" (references 32956 to 32964).</w:t>
      </w:r>
    </w:p>
    <w:p>
      <w:r>
        <w:t>298. Brenntag provided annotations from Mr. Jean-Luc 23... that are undated regarding clients St Florentin, Acrodur, and St Gobain where the following mentions appear: "06 xx xx xx xx Michel Caldic St Florentin ... HCL 500t/year Acrodur fluoro acid St Gobain market 2000" (references 154 and 496, 06/0075 AC).</w:t>
      </w:r>
    </w:p>
    <w:p>
      <w:r>
        <w:t>299. Mr. Jean-Luc 23... confirms having called Mr. Michel 20... regarding the mentioned clients: "I recognize my handwriting. I contacted Mr. 20... regarding the three clients mentioned" (references 32956 to 32964).</w:t>
      </w:r>
    </w:p>
    <w:p>
      <w:r>
        <w:t>300. Brenntag provided annotations from Mr. Jean-Luc 23... that are undated regarding clients Thomson Genlis and Acrodur where the following mentions appear: "Thomson Genlis Mrs. 38… chlorine acid Caldic wait Personal friend of Michel Acrodur Michel said he no longer works with Caldic" (references 156 and 497, 06/0075 AC).</w:t>
      </w:r>
    </w:p>
    <w:p>
      <w:r>
        <w:rPr>
          <w:b/>
        </w:rPr>
        <w:t>[Pages 61–63]</w:t>
      </w:r>
    </w:p>
    <w:p>
      <w:r>
        <w:t xml:space="preserve">301. Regarding this last document, Mr. Jean-Luc 23... maintained his previous statements concerning the contacts he may have had with Mr. Michel 20..., regarding the clients mentioned successively: "I recognize my handwriting. Whenever I mentioned Michel, it refers to Michel 20... whom I contacted regarding the cited clients. Concerning the client Acrodur, Mr. 20... informed me that he no longer worked with this client" (references 32956 to 32964).  </w:t>
        <w:br/>
        <w:t xml:space="preserve">302. Brenntag communicated the annotations of Mr. Jean-Luc 23... dated March 20, 2002, concerning the client IFF where it is written: "IFF cde 2960 sulfuric no soda See Michel" (references 184 and 515, 06/0075 AC). Jean-Luc 23... confirmed having contacted Michel 20... for the client IFF: "I recognize my handwriting. See Michel means contact Mr. 20..." (references 32956 to 32964).  </w:t>
        <w:br/>
        <w:t xml:space="preserve">Regarding Mr. David 21...  </w:t>
        <w:br/>
        <w:t xml:space="preserve">303. Brenntag provided a copy of a label on which Mr. Paul 15... noted: "Caldic Mr. 21... David Tel: 03 xx xx xx xx Mobile: 06 xx xx xx xx" (reference 491, 06/0075 AC).  </w:t>
        <w:br/>
        <w:t xml:space="preserve">304. Mr. Jean-Luc 23... indicated that "[i]t is the handwriting of Mr. Paul 15..." (references 32956 to 32964).  </w:t>
        <w:br/>
        <w:t xml:space="preserve">305. Brenntag communicated annotations from Mr. Jean-Luc 23... concerning the client Sndce which indicate: "Tel Caldic 21... for soda Sndce" (reference 505, 06/0075 AC).  </w:t>
        <w:br/>
        <w:t xml:space="preserve">306. Brenntag communicated annotations from December 30, 2001, concerning the clients Acrodur and Remond, and then from December 31, 2001, which mention: "Tel Caldic on 5/01 21... offer Acrodur and Remond to prepare" (reference 499, 06/0075 AC). On these documents, Mr. Jean-Luc 23..., while recognizing his handwriting, indicated that he "may have called Mr. 21... in the absence of Mr. 20.... I was calling Mr. 20... because he managed the clients we mentioned within Caldic. Mr. David 21... may not have been in position when I arrived" (references 32956 to 32964).  </w:t>
        <w:br/>
        <w:t xml:space="preserve">307. Messrs. Michel 20... and David 21... denied having participated in the practices denounced by Brenntag without providing material evidence to support their denials.  </w:t>
        <w:br/>
        <w:t xml:space="preserve">e) The products concerned by the practices  </w:t>
        <w:br/>
        <w:t xml:space="preserve">308. It follows from Brenntag's statements in its leniency application and the documents provided concerning the Burgundy area that the practices concerned the entire distribution of chemical commodities marketed by Brenntag from its Torcy site, although products from the mineral chemistry were primarily involved. Indeed, according to Brenntag, "[t]hese practices would have concerned most of the products sold by the Brenntag Burgundy site, particularly those from mineral chemistry (bleach, soda, etc.)" (reference 262, 06/0075 AC).  </w:t>
        <w:br/>
        <w:t xml:space="preserve">f) The clients concerned by the practices  </w:t>
        <w:br/>
        <w:t xml:space="preserve">309. The client allocation practice implemented by the parties in the Burgundy area primarily targeted the clients managed by the participants in the agreement, Mr. Paul 15..., site director of Torcy, and his sales representative Mr. Jean-Luc 23... for Brenntag, and Mr. Michel 20..., sales representative for the Brazey site, and his superior Mr. David 21... for Caldic Est. This latter company estimates this portfolio, for the year 2005, at less than half of the turnover of the Brazey-en-Plaine site (reference 44575). Employees or former employees of Brenntag also stated that the client allocation concerned a limited number of clients.  </w:t>
        <w:br/>
        <w:t xml:space="preserve">310. Thus, Brenntag, in its leniency application, and then in subsequent statements, argued that the agreement in Burgundy "did not concern all clients, but only certain ones. There were no precise criteria for selecting the clients involved in the agreement. The clients concerned were generally the main common clients who consulted the companies involved in the agreement for a price offer (...). Such a freeze of positions client by client did not exist in the Burgundy area, particularly because the agreement consisted rather of an alternation, or a sharing of commodities between competitors" (references 37090 to 37092).  </w:t>
        <w:br/>
        <w:t xml:space="preserve">311. The director of the Brenntag site in Torcy, Mr. Paul 15..., stated: "Olivier Z..., who chaired the meeting, as well as Jean-Pierre N... and the representatives of Caldic, encouraged the participants to meet on the ground to agree on certain clients." He added: "For my part, I can confirm that following this meeting, Brenntag Burgundy indeed reached an agreement with Caldic Est to allocate clients" (references 14658 to 14660).  </w:t>
        <w:br/>
        <w:t xml:space="preserve">312. Mr. Jean-Luc 23..., sales representative of the Brenntag site in Torcy, stated: "Apparently, this last one [referring to his predecessor] consulted competitors for a few clients, about ten out of 600. For my part, I continued with this ten clients (...) These clients primarily concerned Caldic Est and not Univar" (references 32956 to 32964).  </w:t>
        <w:br/>
        <w:t xml:space="preserve">313. This same sales representative from the Brenntag site in Torcy, when questioned about the tables he had drafted for the allocation, indicated: "The clients shared or reserved in whole or in part listed were as follows (...)" (references 32956 to 32964). Thus, this Brenntag employee distinguishes among the clients, subjects of the consultation, clients "shared," which are the subject of coverage offers, but also "reserved" clients that the competitor does not approach. Consequently, a non-aggression pact for certain clients is indeed recognized here.  </w:t>
        <w:br/>
        <w:t xml:space="preserve">314. Mr. Olivier Z..., director of the southern region of Brenntag, confirmed: "Paul 15..., who is the site director [referring to the Torcy site], had contacts with Caldic-Est regarding a few clients" (references 14669 to 14674).  </w:t>
        <w:br/>
        <w:t xml:space="preserve">315. It results from these various statements that the client allocation practice would have only concerned a limited number of clients, estimated at 10 out of 600. These would only be the main common clients, those who put Brenntag and Caldic Est in competition through prices.  </w:t>
        <w:br/>
        <w:t xml:space="preserve">316. However, based on other material elements in the file, it appears that the practice did not affect such a limited number of clients from the sites of the two companies.  </w:t>
        <w:br/>
        <w:t xml:space="preserve">317. First, Mr. Olivier Z..., director of the southern region of Brenntag, responsible for the Rhône-Alpes and Burgundy regions, stated: "During this meeting [referring to the meeting of June 5, 1998, in Reims], we considered not to attack each other" (references 32760 to 32764). This is therefore a general objective that is defined here and corresponds to the goals stated by the consultation, namely to stabilize the market shares of the partners and restore the margins of the struggling sites, advanced by the leniency applicants, including Brenntag.  </w:t>
        <w:br/>
        <w:t xml:space="preserve">318. Next, the consultation of the 183 documents submitted by Brenntag in its leniency application establishes that the consultation at least concerned two lists of 31 and 11 clients. Thus, 42 clients have been identified from tables or documents drafted by the sales representative of the Brenntag site in Torcy.  </w:t>
        <w:br/>
        <w:t xml:space="preserve">319. These elements relativize the initial statements. Indeed, the client allocation covered a larger number of clients than initially announced by the authors of the practices. It concerned client shares that were the subject of coverage offers but also a freeze of certain positions, so that competitors "do not attack each other," to quote the words of the director of the southern region of Brenntag.  </w:t>
        <w:br/>
        <w:t xml:space="preserve">320. Thus, considering the objectives assigned to the consultation in terms of stabilizing market shares and restoring margins, abundantly described by the leniency applicants, and notably by Brenntag (reference 26695), the main clients, sensitive to prices, constituted the primary target of the consultation.  </w:t>
        <w:br/>
        <w:t xml:space="preserve">321. Therefore, considering the objectives of stabilizing market shares and restoring margins, the content of the exchanges between Brenntag and Caldic Est during the meeting of June 5, 1998, in Reims, the involvement of the site directors, regional directors (Brenntag), and national directors (Caldic Est), particularly during this launch meeting, and then during the practices commission, the clients less sensitive to the prices of the two sites of Torcy and Brazey-en-Plaine were affected by the consultation practice between Brenntag and Caldic Est.  </w:t>
        <w:br/>
        <w:t xml:space="preserve">322. It should finally be noted that Caldic Est did not contest the notified grievance which asserts that the client allocation practice in the Burgundy area concerned all or part of the clientele of the Brenntag and Caldic Est sites and, at the very least, the 42 clients identified from the documents submitted by Brenntag.  </w:t>
        <w:br/>
        <w:t xml:space="preserve">g) The monitoring of practices  </w:t>
        <w:br/>
        <w:t xml:space="preserve">323. The consultation was subject to monitoring by Brenntag to ensure that the initial decisions regarding the allocation of volumes and clientele were indeed respected. Thus, Brenntag stated that it checked "that this client allocation was indeed respected" and provided 4 internal documents attesting to the reality of this control (reference 267, 06/0075 AC).  </w:t>
        <w:br/>
        <w:t xml:space="preserve">♦ Reference 361, 06/0075 AC  </w:t>
        <w:br/>
        <w:t>324. Brenntag provided a document from 2001 on which 27 clients are listed along with the mentions "losses 200," "gains 2001," and "coverage." It explained that "this document which indicates by client, in terms of volumes and margin per product, the 'losses 2001,' the 'gains 2001,' the 'coverages,' and BBOU (for Brenntag Bourgogne) is an internal document of Brenntag Bourgogne showing the control carried out. The explanations provided by a representative of Brenntag Bourgogne are as follows: 'coverage' represents the coverages of Brenntag Bourgogne for the benefit of Caldic Est and 'BBOU' the tonnage on which Caldic Est covered Brenntag Bourgogne. This summary shows that Brenntag Bourgogne covered Caldic Est in 2001 on 382 T more than Caldic Est covered Brenntag Bourgogne. This document also indicates that the agreements in 2001, regarding the listed clients, would have resulted for Brenntag Bourgogne in a decrease in tonnages ('308': 308 tons 'lost') and margin ('200': 200,000 euros 'lost') 'abandoned' to Caldic Est" (references 318 to 319, 06/0075 AC).</w:t>
      </w:r>
    </w:p>
    <w:p>
      <w:r>
        <w:rPr>
          <w:b/>
        </w:rPr>
        <w:t>[Pages 64–66]</w:t>
      </w:r>
    </w:p>
    <w:p>
      <w:r>
        <w:t xml:space="preserve">♦ Reference 362, 06/0075 AC  </w:t>
        <w:br/>
        <w:t xml:space="preserve">325. This is a copy of reference 361, 06/0075 AC, on which certain clients have been crossed out and 7 other clients have been added. Brenntag explained that this document "illustrates the adjustments decided to rebalance this situation, in favor of Brenntag (Bourgogne), following the observation made on document 8" (reference 268, 06/0075 AC).  </w:t>
        <w:br/>
        <w:t xml:space="preserve">♦ Reference 370, 06/0075 AC  </w:t>
        <w:br/>
        <w:t xml:space="preserve">326. This document concerns a price offer from Brenntag to the client PFC dated February 26, 2002, on which handwritten notes "no," "ok," "?" appear alternately next to the different product lines.  </w:t>
        <w:br/>
        <w:t xml:space="preserve">327. For Brenntag and "[a]ccording to a manager from Brenntag Bourgogne, these handwritten notes reflect checks made to ensure that the cover prices were indeed respected (monitoring/control of agreements)" (reference 268, 06/0075 AC). Brenntag specified that "the handwritten notes are an indication of the control exercised to verify that the cover prices were respected (comparison of prices from Brenntag Bourgogne and those from Caldic)" (reference 321, 06/0075 AC).  </w:t>
        <w:br/>
        <w:t xml:space="preserve">♦ Reference 386, 06/0075 AC  </w:t>
        <w:br/>
        <w:t xml:space="preserve">328. Brenntag provided a table regarding the volumes achieved for different products with the client Eurochimic, with the notes: "Visit of 14/03/02" and "RV Caldic 9/04." Brenntag explained: "the note 'visit of 24/03/02' means that Caldic Est visited the Brenntag Bourgogne site on that date and that joint checks were carried out. Joint decisions would have been made on that occasion" (reference 268, 06/0075 AC).  </w:t>
        <w:br/>
        <w:t xml:space="preserve">h) Cessation of Practices  </w:t>
        <w:br/>
        <w:t xml:space="preserve">329. The practices of customer allocation between Brenntag and Caldic Est began following the meeting on June 5, 1998, in Reims.  </w:t>
        <w:br/>
        <w:t xml:space="preserve">330. In its leniency application, Brenntag states that the alleged practices would have ended in the spring of 2003 and at the latest in 2004, following the injunction from the president of Brenntag who took office in March 2003, to cease all practices in question that might exist throughout the national territory and the competition law training organized in April 2003 by management (reference 269, 06/0075 AC). This information is identical to that concerning the Rhône-Alpes region for which the first phase of practices ended in June 2003. Therefore, the alleged practices related to the Bourgogne area ceased in June 2003.  </w:t>
        <w:br/>
        <w:t xml:space="preserve">6. PRACTICES IMPLEMENTED BY BRENNTAG (FROM ITS SITES IN GREZ EN BOUERE - 53 AND SAINT HERBLAIN - 44), LANGLOIS-CHIMIE (SOLVADIS), FROM ITS SITE IN RENNES - 35 AND LAMBERT-RIVIÈRE (UNIVAR) (FROM ITS SITE IN CARQUEFOU - 44)  </w:t>
        <w:br/>
        <w:t xml:space="preserve">331. In this area, the parties implemented two practices consisting, on the one hand, of a trilateral consultation organized by Brenntag from its Maine Bretagne and Loire Bretagne sites, Langlois-Chimie (Solvadis) from its Rennes site, and Lambert-Rivière (Univar) from its Carquefou site, and, on the other hand, a bilateral consultation between the first two of these companies. These practices were denounced, among others, by Brenntag (references 12 to 13, file 06/0064 AC, references 684 to 688, 06/0075 AC, references 576 to 577 file 06/0092 AC).  </w:t>
        <w:br/>
        <w:t xml:space="preserve">a) Origin of the Practices  </w:t>
        <w:br/>
        <w:t xml:space="preserve">332. It emerges from the explanations and statements provided by Brenntag that the consultation in the western zone began during the regional chemistry days held in 1998 in Dinard (Ille-et-Vilaine) (reference 33835). As reported by this leniency applicant, the agreement began "with the meeting of Jean-Yves B... (Regional Director of Brenntag 'center west') with the director of Langlois Chimie, Mr. Pierre C..., during the regional chemistry day in October 1997 or 1998" (reference 686, 06/0075 AC).  </w:t>
        <w:br/>
        <w:t xml:space="preserve">333. The analysis of Mr. Pierre C...'s agenda, regional director at Langlois-Chimie (Solvadis), confirms that several meetings indeed took place in 1998 between him and Mr. Jean-Yves B.... A meeting was notably held on October 6, 1998, the date on which the regional chemistry days took place in Dinard (reference 33824).  </w:t>
        <w:br/>
        <w:t xml:space="preserve">334. The consultation expanded to the company Lambert-Rivière (Univar) as confirmed by Mr. Jean-Yves B..., former director of the western region of Brenntag: "To my recollection, these were initiated in early October 1997 during the regional chemistry days (organized by the UFCC). On this occasion, I met for the first time Pierre C... (from Langlois), we exchanged views, and notably on a few cases, we reproached each other for our respective margins. I jokingly suggested that we call each other to consult on a client, whose identity I cannot remember (...) We implemented this resolution and gradually expanded it to other clients (...) This bilateral agreement was expanded to Lambert-Rivière at the initiative of Pierre C..., who had a contact at Lambert-Rivière when Lambert-Rivière was involved. This always happened over the phone" (reference 22504). This fact is corroborated by Mr. Pierre C... (reference 33821).  </w:t>
        <w:br/>
        <w:t xml:space="preserve">335. Univar does not specify in its leniency application the origin of the agreements but reports that "isolated agreements concerning solvents and not mineral chemistry covered the period from 1999 (or perhaps earlier) to the end of 2002" (reference 576, 06/0092 AC). However, Mr. Manuel 24..., former commercial director of Lambert-Rivière (reference 13316) and Mr. Jérôme 5..., at the time responsible for the Nantes/Bordeaux/Toulouse region for this same company, confirm that the agreements date back to 1998 (reference 13352).  </w:t>
        <w:br/>
        <w:t xml:space="preserve">336. These elements reveal that a consultation among several sites of chemical commodity distributors located in the west began, at the very least, during the regional chemistry day in Dinard on October 6, 1998. It should also be noted that Mr. Jean-Yves B... (Brenntag) claims responsibility for initiating the consultation.  </w:t>
        <w:br/>
        <w:t xml:space="preserve">b) Participants in the Practices  </w:t>
        <w:br/>
        <w:t>337. The participants in the various meetings and exchanges between the companies involved included the following individuals (references 18 to 19, 06/0064 AC, reference 687, 06/0075 AC, and 577, 06/0092 AC):</w:t>
      </w:r>
    </w:p>
    <w:p>
      <w:r>
        <w:t xml:space="preserve">For Brenntag  </w:t>
        <w:br/>
        <w:t xml:space="preserve">- Mr. Jean-Yves B..., site director of Grez-en-Bouère, regional director, and member of the management committee of Brenntag;  </w:t>
        <w:br/>
        <w:t xml:space="preserve">- Mr. Alain K..., commercial director of Maine-Bretagne;  </w:t>
        <w:br/>
        <w:t xml:space="preserve">- Mr. Dominique G..., director of the Loire-Bretagne site since 2001;  </w:t>
        <w:br/>
        <w:t>- Mr. Michel 25..., director of the Loire-Bretagne site before 2001;</w:t>
      </w:r>
    </w:p>
    <w:p>
      <w:r>
        <w:t xml:space="preserve">For Langlois Chimie (Solvadis)  </w:t>
        <w:br/>
        <w:t xml:space="preserve">- Mr. Marc-Antoine F..., commercial director and then, from 2003, President (reference 34049);  </w:t>
        <w:br/>
        <w:t xml:space="preserve">- Mr. Pierre C..., director of the western region until 2002 (reference 13355);  </w:t>
        <w:br/>
        <w:t xml:space="preserve">- Mr. Jacques L..., director of the south-west region and then the western region in 2002;  </w:t>
        <w:br/>
        <w:t>- Mr. Pascal 26..., head of the agri-food industry (reference 33192);</w:t>
      </w:r>
    </w:p>
    <w:p>
      <w:r>
        <w:t xml:space="preserve">For Lambert-Rivière (Univar)  </w:t>
        <w:br/>
        <w:t xml:space="preserve">- Ms. Laurence J..., head of marketing for solvents;  </w:t>
        <w:br/>
        <w:t xml:space="preserve">- Mr. Robert 6..., director of the Carquefou site;  </w:t>
        <w:br/>
        <w:t xml:space="preserve">- Mr. Jérôme 5..., responsible for the Nantes/Bordeaux/Toulouse region for Lambert-Rivière since January 1999.  </w:t>
        <w:br/>
        <w:t xml:space="preserve">c) Purpose of the Practices  </w:t>
        <w:br/>
        <w:t xml:space="preserve">338. In the western zone, two practices were implemented, on the one hand, regarding solvents, a consultation between Brenntag, Langlois-Chimie (Solvadis), and Lambert-Rivière (Univar) aimed at allocating clients, orders, or product lines of their clients, and, on the other hand, regarding mineral chemistry products, a consultation between Brenntag and Langlois-Chimie (Solvadis), also aimed at allocating clients, orders, or product lines of their clients but also to coordinate their pricing policies, notably by passing on to their respective clients the price increases imposed by their mineral chemistry suppliers.  </w:t>
        <w:br/>
        <w:t xml:space="preserve">339. As explained by Mr. Jean-Yves B..., director of the western region of Brenntag and director of the Brenntag site in Grez-en-Bouère, the objective of these practices was to increase the profitability of the sites even if "[h]is site was doing very well and Solvadis's was deteriorating simultaneously. (...) I participated in these agreements to further improve our margins, to not let Solvadis lose money, and to keep a competitor rather than eliminate it and/or see an unknown arrive, likely to disrupt our balance (...) the objective was certainly to improve our margins but not excessively; we could not do anything and especially we could not deliver at any price (...)” (reference 22505).  </w:t>
        <w:br/>
        <w:t>340. The commercial director of the Brenntag Maine-Bretagne site, Mr. Alain K..., confirmed the statements of his site director: “[d]uring these meetings, lists of clients were jointly established. The aim was to allocate clients based on the history of supplies, meaning that these clients sourced certain product lines or almost exclusively from a single distributor. The objective of the agreement was to continue this sharing and improve margins. These were the largest clients representing approximately 40% of the site's margin. It must be understood that the commercial directors and site directors had a variable part of their remuneration based on the margin obtained by the site” (reference 37204).</w:t>
      </w:r>
    </w:p>
    <w:p>
      <w:r>
        <w:rPr>
          <w:b/>
        </w:rPr>
        <w:t>[Pages 67–69]</w:t>
      </w:r>
    </w:p>
    <w:p>
      <w:r>
        <w:t>On the trilateral consultation regarding solvents</w:t>
      </w:r>
    </w:p>
    <w:p>
      <w:r>
        <w:t>341. The leniency applicants indicated in their statements that a practice had been implemented to allocate certain clients purchasing solvents. Brenntag stated in this regard that "concerning solvents, the agreement consisted of the allocation of about fifteen clients who generally consulted Brenntag Maine-Bretagne, Brenntag Loire-Bretagne, Langlois Chimie, and Lambert-Rivière during their calls for tenders" (reference 687, 06/0075 AC).</w:t>
      </w:r>
    </w:p>
    <w:p>
      <w:r>
        <w:t>342. Ms. Laurence J..., former marketing manager for solvents at Lambert-Rivière, specified: "Brittany region: clients Socoplan, Applix, Benetteau, Nantes Carcquefou site (for Lambert-Rivière) with Brenntag (Mr. G..., Brenntag Maine site, I am not sure), Langlois (Rennes or Niort site, I am not sure) (...) I was the product manager for Solvents and I was the contact person for the various competitors in the East, North, and Brittany regions for these clients, and we exchanged information by phone, and I tried to maintain, in agreement with my competitors, my sales levels. I communicated the price afterwards to the sellers located in the relevant areas, for these specific clients, and within the occasional framework specified above" (reference 13352).</w:t>
      </w:r>
    </w:p>
    <w:p>
      <w:r>
        <w:t>343. Regarding the "tables relating to the agreements" communicated in its leniency application, Univar explained that "[t]hese tables are internal documents that were prepared by Ms. Laurence J... to 'track' the clients whose identities appear on the tables" (reference 415, 06/0092 AC).</w:t>
      </w:r>
    </w:p>
    <w:p>
      <w:r>
        <w:t>344. Ms. Laurence J... summarized the operational modalities of the consultation as follows: "I exchanged by phone the selling price to be practiced in agreement with the competitors to maintain a business volume with these clients. Each month, I noted the price to be set to take or not take the order. The prices reported in the table showed the one who had received the order [lowest price]" (references 35806 to 35808).</w:t>
      </w:r>
    </w:p>
    <w:p>
      <w:r>
        <w:t>345. The elements communicated by Univar as interpreted by their authors allow us to establish that a consultation between the companies Brenntag and Langlois-Chimie (Solvadis) took place. The table reproduced below illustrates the implementation of the consultation on the clients Beneteau, Socoplan, and Applix.</w:t>
      </w:r>
    </w:p>
    <w:p>
      <w:r>
        <w:t>346. The statements of Brenntag and Lambert-Rivière (Univar) and Langlois-Chimie (Solvadis) thus highlight the existence of a customer allocation practice concerning the distribution of solvents in the western zone.</w:t>
      </w:r>
    </w:p>
    <w:p>
      <w:r>
        <w:t>On the bilateral consultation regarding mineral chemistry</w:t>
      </w:r>
    </w:p>
    <w:p>
      <w:r>
        <w:t>The allocation of common clients for mineral chemistry</w:t>
      </w:r>
    </w:p>
    <w:p>
      <w:r>
        <w:t>347. A consultation also took place between Brenntag and Langlois-Chimie (Solvadis) aimed at allocating clients who consulted both of them for mineral chemistry products. This practice did not concern Univar, which did not have a mineral chemistry depot in the western region.</w:t>
      </w:r>
    </w:p>
    <w:p>
      <w:r>
        <w:t>348. The main actors thus recognized this consultation:</w:t>
        <w:br/>
        <w:t>- Mr. Pierre C..., regional director for the west until 2002 of Langlois-Chimie (Solvadis): "There were times when we discussed clients such as SIPSY (49) or Alcatel (Coutances). As far as I am concerned, the list we discussed should have included about ten clients" (reference 33189).</w:t>
        <w:br/>
        <w:t>- Mr. Marc-Antoine F..., chairman of the management board of Langlois-Chimie (Solvadis): "Subsequent to my taking office at Langlois, I was informed by Mr. C... of the exchanges he had with Mr. B... during a lunch organized by Mr. C... bringing the three of us together along with Mr. G.... (...) I was explained that at certain clients, Brenntag or Solvadis was the leader, meaning that the competitor would not deliver the designated client, this practice being made possible by cover offers" (reference 34050).</w:t>
        <w:br/>
        <w:t>- Mr. Jacques L..., director of the western region from 2002 of Langlois-Chimie (Solvadis): "During my duties, I was informed of practices outside the management committees of Solvadis. Indeed, Mr. C..., director of Rennes and Mr. 26..., head of IAA reported to me the phone contacts they had with Mr. B..." (reference 34106).</w:t>
        <w:br/>
        <w:t>- Mr. Pascal 26..., head of the Agro-food Industry at Langlois-Chimie (Solvadis): "Regarding the agreements, I have always been more or less aware, I was told that there was no need to attack competitors, that the market was not extensible. It was a historical behavior" (reference 13325). "[I] met sometimes outside the UFCC and had spoken on the phone with Mr. B..., president of Brenntag west, but that was before the arrival of Mr. Marc-Antoine F..." (references 33193 to 33194).</w:t>
        <w:br/>
        <w:t>- Mr. Jean-Yves B..., western regional director at Brenntag: "Following the first experience of consultation between Brenntag and Solvadis with the client SIPSY, due to our knowledge of the field, we had identified the clients on which we were potentially two able to deliver. Gradually, clients came to join the system" (reference 34074).</w:t>
      </w:r>
    </w:p>
    <w:p>
      <w:r>
        <w:t>349. Although the leniency applicants did not provide any material evidence to support their statements, Mr. Alain K..., former commercial director of the Brenntag Maine-Bretagne site, provided, following his hearing, a handwritten note dated according to its author December 13, 2000, taken during a consultation meeting with Langlois-Chimie (Solvadis) (references 37209 and 37210).</w:t>
      </w:r>
    </w:p>
    <w:p>
      <w:r>
        <w:t>350. At the top right of the document, the first names "Pierre" and "Pascal" can be seen, which likely refer to Messrs. Pierre C... and Pascal 26..., from Langlois-Chimie (Solvadis), confirming the statements of its author, namely that this document indeed constitutes a report of a meeting with the representatives of Langlois-Chimie (Solvadis).</w:t>
      </w:r>
    </w:p>
    <w:p>
      <w:r>
        <w:t>351. Regarding the subject of the meeting, it is noted that this document contains a list of clients including, among others, "Entremont," "Teyssier," and "Mazal."</w:t>
      </w:r>
    </w:p>
    <w:p>
      <w:r>
        <w:t>352. In front of the mention of the client "EPI Bretagne," the inscription "Nitric: Langlois (1.05) Us (1.10)" is noted. In light of the statements of the various participants in the consultation, it can be inferred from this annotation that during this meeting, it was decided that for the delivery of the client Epi Bretagne in nitric acid, Langlois-Chimie (Solvadis) would submit an offer of 1.05 while Brenntag would cover with a higher offer of 1.10.</w:t>
      </w:r>
    </w:p>
    <w:p>
      <w:r>
        <w:t>The price coordination</w:t>
      </w:r>
    </w:p>
    <w:p>
      <w:r>
        <w:t>353. This practice only concerned mineral chemistry products and, as previously indicated, therefore only involved the companies Brenntag and Langlois-Chimie (Solvadis) since Univar's depot in Carquefou does not stock mineral chemistry.</w:t>
      </w:r>
    </w:p>
    <w:p>
      <w:r>
        <w:rPr>
          <w:b/>
        </w:rPr>
        <w:t>[Pages 70–72]</w:t>
      </w:r>
    </w:p>
    <w:p>
      <w:r>
        <w:t>354. Mr. Pierre C..., former regional director of Langlois-Chimie (Solvadis), explained the purpose of the contacts with his competitor as follows: "It was primarily about respecting the price evolution of the markets, mainly concerning the mineral sector, the toughest market in terms of monitoring and low margins: when raw materials increased, we passed on the increases in our purchase prices to the clients, and our competitors were supposed to do the same. That was it, it was something logical and it was really nothing. Our clients never complained, and there are monthly national indicators that justified price increases (...) I think the regional management was aware, but I never received any reproach regarding my management style" (reference 13356).</w:t>
      </w:r>
    </w:p>
    <w:p>
      <w:r>
        <w:t>355. During his second hearing, Mr. Pierre C... confirmed that "[d]uring these meetings, we discussed the price increases practiced by our suppliers and the passing on of these changes to our clients" (references 33188 and 33189).</w:t>
      </w:r>
    </w:p>
    <w:p>
      <w:r>
        <w:t>356. Mr. Pascal 26..., head of the agri-food industry at Langlois-Chimie (Solvadis), also states that the consultation between the aforementioned companies focused on the passing on of price increases to clients: "It happened that we also discussed the passing on of supplier price increases to our clients. It was about harmonizing price movements between competitors" (reference 33194). He adds: "I had little contact with Brenntag, one or two phone calls a year at the beginning of the year (except for the last two years because many former Brenntag employees had returned to Solvadis and contacts were made at that level). When Mr. B... called me, he encouraged me to raise prices, and I followed the upward trend" (reference 13326).</w:t>
      </w:r>
    </w:p>
    <w:p>
      <w:r>
        <w:t>357. Mr. Jean-Yves B..., former director of the western region for Brenntag, also confirms having exchanged views with his counterparts on the passing on of price increases (reference 22505).</w:t>
      </w:r>
    </w:p>
    <w:p>
      <w:r>
        <w:t>358. These statements align with the meeting report provided by Mr. Alain K... (reference 37210). It is noted in this document that next to the names of several clients appears the mention "Increases." Furthermore, next to the client "Entremont," the inscription "HCL 0.85 → 0.92" is noted. It can be inferred from these annotations that during this meeting on December 12, 2000, it was decided between Brenntag and Langlois-Chimie (Solvadis) to implement, at least for the mentioned clients, the price increases for mineral chemicals.</w:t>
      </w:r>
    </w:p>
    <w:p>
      <w:r>
        <w:t>d) The products concerned by the practices</w:t>
      </w:r>
    </w:p>
    <w:p>
      <w:r>
        <w:t>359. The agreement between Brenntag Maine-Bretagne, Brenntag Loire-Bretagne, Langlois-Chimie (Solvadis), and Lambert-Rivière (Univar) concerned all solvents, while the agreement between Brenntag Maine-Bretagne, Brenntag Loire-Bretagne, and Langlois-Chimie (Solvadis) concerned all products of the mineral chemistry.</w:t>
      </w:r>
    </w:p>
    <w:p>
      <w:r>
        <w:t>e) The clients concerned by the practices</w:t>
      </w:r>
    </w:p>
    <w:p>
      <w:r>
        <w:t>360. The price coordination (passing on of supplier increases) targets all clients of Brenntag and Langlois-Chimie (Solvadis) for mineral chemistry products.</w:t>
      </w:r>
    </w:p>
    <w:p>
      <w:r>
        <w:t>361. The statements from Brenntag, Solvadis, and Univar or those of their employees, as well as the material elements communicated by the former commercial director of Brenntag Maine-Bretagne, attest to the fact that the two practices of customer allocation only concerned clients who could be supplied by the different distributors they were competing against, notably through calls for tenders. The number of clients involved varies depending on whether one considers the version of Solvadis (all clients, references 36962 and 36963), Brenntag (about fifteen unidentified clients, reference 567, 06/0075 AC), and Univar (4 to 5 clients of which only 3 are identified, reference 576, 06/0092 AC). However, the former commercial director of Brenntag Maine-Bretagne emphasizes that these were the largest clients representing approximately 40% of Brenntag's turnover.</w:t>
      </w:r>
    </w:p>
    <w:p>
      <w:r>
        <w:t>362. However, in view of the objectives of market share stabilization and margin restoration, recalled by the participants and notably by the representatives of Brenntag (reference 256, 06/0075 AC, references 22503 to 22507) and Univar (references 577, 06/0092 AC), as well as the involvement of the site directors of the three distributors concerned, the clients less sensitive to the prices of these sites were also affected by the practices implemented between Brenntag, Langlois-Chimie (Solvadis), and Lambert-Rivière (Univar). Indeed, the practices of customer allocation through coverage offers would not have endured over time if either of the distributors had attempted to capture the market shares of the others by targeting their less price-sensitive clients.</w:t>
      </w:r>
    </w:p>
    <w:p>
      <w:r>
        <w:t>363. It should also be emphasized that Solvadis and Univar did not contest the notified grievances, which concern a practice of allocation targeting their entire clientele.</w:t>
      </w:r>
    </w:p>
    <w:p>
      <w:r>
        <w:t>f) The modalities of implementation of the practices</w:t>
      </w:r>
    </w:p>
    <w:p>
      <w:r>
        <w:t>364. It emerges from the explanations and statements of the applicants for leniency and the elements in the file that, in addition to telephone exchanges that may have taken place between Langlois-Chimie (Solvadis) and Brenntag until October 2003, meetings also took place between Brenntag and Langlois-Chimie (Solvadis). The material elements gathered by Solvadis allow for the identification of two meetings in 1998, two meetings in 2001, one meeting in 2002, and one meeting in 2003. The statements from Brenntag, not corroborated by documents or by the statements of Solvadis or Univar, also suggest the holding of one meeting in 1998, two meetings in 1999-2000, and one meeting in 2001 or 2002, two of these meetings having taken place at the Ibis Hotel in Laval, confirmed as a meeting place by an expense report submitted by Solvadis for the last meeting of 2003. In contrast, Lambert-Rivière (Univar) likely did not participate in meetings but took part in the consultation through telephone contacts. These telephone exchanges or meetings provided the parties involved with the opportunity to coordinate on the objectives of maintaining acquired positions through the denounced practices: price coordination and customer allocation.</w:t>
      </w:r>
    </w:p>
    <w:p>
      <w:r>
        <w:t>365. In this regard, Brenntag stated in its leniency application that "[i]n practice, at each call for tenders, Brenntag Maine-Bretagne, Brenntag Loire-Bretagne, Langlois-Chimie, and Lambert-Rivière contacted each other by phone to allocate orders (either by client or by product line) and communicated the prices they intended to propose to the client (coverage offers)" (reference 687, 06/0075 AC).</w:t>
      </w:r>
    </w:p>
    <w:p>
      <w:r>
        <w:t xml:space="preserve">366. The practice between the companies Brenntag and Solvadis was then extended to mineral chemistry products and took, according to the statements of the leniency applicant, two forms: </w:t>
        <w:br/>
        <w:t xml:space="preserve">" - on the one hand, in practice, as soon as producers increased their prices on the main mineral chemistry products (soda lye, hydrochloric acid, nitric acid, bleach extract, etc.), Brenntag and Solvadis would call each other to jointly decide on the increase to be passed on to their clients; </w:t>
        <w:br/>
        <w:t>- on the other hand, for the ten largest clients in mineral chemistry, who sourced annually or semi-annually, Brenntag and Solvadis agreed to (i) either allocate the client or (ii) share the product lines ordered by a client during the same order. Non-compliance with the agreement would result in a simple reminder by phone but no other consequences" (reference 688, 06/0075 AC).</w:t>
      </w:r>
    </w:p>
    <w:p>
      <w:r>
        <w:t>367. Univar, which only participated in the consultation concerning solvents, confirmed that contacts between the companies only occurred by phone (reference 26212).</w:t>
      </w:r>
    </w:p>
    <w:p>
      <w:r>
        <w:t>368. Solvadis produced the telephone records of Mr. Marc-Antoine F..., former CEO of Langlois-Chimie (Solvadis), indicating that he contacted Mr. Jean-Yves B..., director of the western region of Brenntag, several dozen times between January 2002 and October 2003 (references 190 to 242, 06/0064 AC).</w:t>
      </w:r>
    </w:p>
    <w:p>
      <w:r>
        <w:t>369. Furthermore, the file mentions certain meetings, but only between representatives of Brenntag and those of Langlois-Chimie (Solvadis). Thus, it appears from excerpts of the agendas of Mr. Pierre C..., from Langlois-Chimie (Solvadis), communicated by him that:</w:t>
        <w:br/>
        <w:t>- Messrs. Pierre C..., Pascal 26..., and Jean-Yves B... met on April 17, 1998, at an unidentified restaurant located in "La Guerche de Bretagne" (reference 33823). Another meeting took place between Messrs. Pierre C... and Jean-Yves B... on October 6, 1998, presumably during the chemistry day held in Dinard (reference 33824);</w:t>
        <w:br/>
        <w:t>- two meetings also took place between Messrs. Pierre C... and Jean-Yves B... on June 24 and November 19, 2001 (references 33825 and 33826).</w:t>
      </w:r>
    </w:p>
    <w:p>
      <w:r>
        <w:t>370. In addition to the aforementioned meetings, the expense reports communicated by Solvadis allowed for the reconstruction of the following meetings:</w:t>
        <w:br/>
        <w:t>- a meeting on March 18, 2002, at the Hotel Restaurant "Au pont d’Anjou" located in La Guerche-de-Bretagne, between Messrs. Marc-Antoine F... and Pierre C... from Solvadis and Messrs. Jean-Yves B... and Daniel G... from Brenntag (reference 33045). It was during this lunch that Mr. Marc-Antoine F..., newly appointed president of Solvadis, was informed of the existing exchanges between Solvadis and Brenntag (references 34050 and 34055);</w:t>
        <w:br/>
        <w:t>- a meeting at the Ibis Hotel in Laval, between Messrs. Jean-Yves B... and Jacques L..., successor of Mr. Pierre C... in Rennes upon his arrival, presumably at the beginning of 2003 (reference 11103). The purpose of this meeting was to discuss the continuation of the agreements, as reported by Mr. Jacques L...: "During this meeting, we discussed the general functioning of our companies since I was a former Brenntag employee. I acknowledged the practices previously implemented and accepted their principle" (reference 34106).</w:t>
      </w:r>
    </w:p>
    <w:p>
      <w:r>
        <w:t>371. Additionally, in its leniency application, Brenntag mentions 4 meetings that took place to establish and discuss the agreement:</w:t>
        <w:br/>
        <w:t>" - meeting in 1998 at the Ibis hotel in Laval attended by D. G... (Brenntag Loire-Bretagne), Mr. J-Y B... (Brenntag Maine-Bretagne), Mr. P. 26... (Langlois Chimie), and Mr. P. C... (Langlois Chimie);</w:t>
        <w:br/>
        <w:t>- two meetings in 1999-2000 at the restaurant "La calèche" in Rennes attended by: D. G... (Brenntag Loire-Bretagne), Mr. J-Y B... (Brenntag Laine-Bretagne), Mr. P. 26... (Langlois Chimie), and Mr. P. C... (Langlois Chimie);</w:t>
        <w:br/>
        <w:t>- meeting in 2001 or 2002 at the Ibis hotel in Laval attended by: Mr. J-Y B... (Brenntag Maine-Bretagne), Mr. P. 26... (Langlois Chimie), and Mr. J. L... (Langlois Chimie)" (reference 686, 06/0075 AC).</w:t>
      </w:r>
    </w:p>
    <w:p>
      <w:r>
        <w:rPr>
          <w:b/>
        </w:rPr>
        <w:t>[Pages 73–75]</w:t>
      </w:r>
    </w:p>
    <w:p>
      <w:r>
        <w:t>372. Alain K..., commercial director of Brenntag for the Maine-Bretagne site, confirmed the holding of meetings with representatives of Langlois-Chimie (Solvadis) at the headquarters of Brenntag but also outside the companies: "Regarding Messrs. C... and 26..., these contacts took place during visits to the premises of Brenntag Maine-Bretagne. For Mr. Jacques L..., the contacts took place outside: in cafés or restaurants" (reference 37203).</w:t>
      </w:r>
    </w:p>
    <w:p>
      <w:r>
        <w:t>g) Monitoring of practices</w:t>
      </w:r>
    </w:p>
    <w:p>
      <w:r>
        <w:t>373. In its leniency application, Brenntag indicated that: "[t]he non-compliance with the agreement resulted in a simple reminder by telephone but no other consequence" (reference 688, 06/0075 AC).</w:t>
      </w:r>
    </w:p>
    <w:p>
      <w:r>
        <w:t>374. Furthermore, the tables provided by Univar illustrate this company's monitoring of the customer distribution agreed upon between the three parties involved.</w:t>
      </w:r>
    </w:p>
    <w:p>
      <w:r>
        <w:t>h) Cessation of practices</w:t>
      </w:r>
    </w:p>
    <w:p>
      <w:r>
        <w:t>375. While the practices began on October 6, 1998, during the regional chemistry days in Dinard, a distinction must be made regarding their duration between the consultations that took place among Brenntag, Solvadis, and Univar and those concerning only the first two of these companies.</w:t>
      </w:r>
    </w:p>
    <w:p>
      <w:r>
        <w:t>On trilateral consultation</w:t>
      </w:r>
    </w:p>
    <w:p>
      <w:r>
        <w:t>376. The practice between Brenntag, Langlois-Chimie (Solvadis), and Lambert-Rivière (Univar) continued until the very end of 2002.</w:t>
      </w:r>
    </w:p>
    <w:p>
      <w:r>
        <w:t>377. First, Mr. Jérôme 5..., former regional director of the Nantes/Bordeaux/Toulouse region at Lambert-Rivière, admitted that he participated in consultations with his competitors. Indeed, "[i]n the six months following my arrival, I teamed up with Robert 6..., my predecessor who was retiring. The agreements already existed, but only concerned 5 or 6 clients of commodities, loss leader products at very tight prices on which no money was made. I knew it existed in Lyon and that it was not legal. I continued during the two years I spent in Nantes. There were attempts by both competitors to increase the agreements, but I refused, which led to some disputes. When I left, I did not leave any instructions and I think it faded away on its own" (reference 13352).</w:t>
      </w:r>
    </w:p>
    <w:p>
      <w:r>
        <w:t>378. It follows from Mr. Jérôme 5...'s statements that the consultation between Lambert-Rivière, Brenntag, and Langlois-Chimie (Solvadis) continued at least until mid-2001.</w:t>
      </w:r>
    </w:p>
    <w:p>
      <w:r>
        <w:t>379. Furthermore, Ms. Laurence J..., head of solvent products for Lambert-Rivière, stated that she resumed the practices in 2001 at the request of Mr. Manuel 24..., who was then the commercial director of Lambert-Rivière: "At the request of Manuel 24..., I was also, at the same time, the contact person for my competitors for collusive practices (each time concerning the price of a single product for a single specific client, accounting for less than 1% of my solvent sales) through occasional telephone exchanges (once to three times a year) in the following regions (...) - Brittany region: clients Socoplan, Applix, Benetteau, Nantes Carcquefou site (for Lambert Rivière) with Brenntag (Mr. G..., Brenntag Maine site (I am not sure), Langlois (Rennes or Niort site, I am not sure)" (reference 22796).</w:t>
      </w:r>
    </w:p>
    <w:p>
      <w:r>
        <w:t>380. She also indicated that she ended the practices in 2002: "I stopped the practices in Lyon in 2002, due to the merger. My hierarchical superiors were Philippe 27... and Jean-Claude 4..., as well as Manuel 24.... One of these three people instructed me to cease the practices. Without express instruction regarding the other regions, I also ceased the practices in those other regions. It should also be noted the context of the time, with the merger that had changed the organization, and the regional managers" (reference 22798).</w:t>
      </w:r>
    </w:p>
    <w:p>
      <w:r>
        <w:t>381. It can be inferred from these various statements that the trilateral consultation on solvents between Brenntag, Langlois-Chimie (Solvadis), and Lambert-Rivière (Univar) ceased at the time of the creation of Univar, namely on December 31, 2002.</w:t>
      </w:r>
    </w:p>
    <w:p>
      <w:r>
        <w:t>On bilateral consultation</w:t>
      </w:r>
    </w:p>
    <w:p>
      <w:r>
        <w:t>382. In contrast, the bilateral consultation between Solvadis and Brenntag on mineral chemistry ended in 2003.</w:t>
      </w:r>
    </w:p>
    <w:p>
      <w:r>
        <w:t>383. According to Brenntag's statements, the practices ceased due, on the one hand, to the instructions of the president of Brenntag, Mr. Yves 14..., and, on the other hand, to the commercial policy initiated by the president of Solvadis, Mr. 28...: "[It was] decided to end the agreement with Langlois Chimie in the first half of 2003 following, on the one hand, the competition law training organized by the General Management of Brenntag SA in April 2003 and, on the other hand, the injunction from Yves 14... – appointed president of Brenntag SA in December 2002 with effective functions starting in March 2003 – to cease all anti-competitive practices that might exist in French territory (...) when he took office in October 2003, the new president of Solvadis, Mr. Jean-Marie 28..., would have ordered his teams to recover tons at any price, in other words, to engage in direct competition with other operators" (reference 688 of file 06/0075 AC).</w:t>
      </w:r>
    </w:p>
    <w:p>
      <w:r>
        <w:t>384. Furthermore, a telephone meeting between Messrs. Yves 14..., Jean-Yves B..., and Olivier Z... took place so that the president of Brenntag could ensure the cessation of practices. The latter, commenting on a document in the file, explained: "[t]his agenda for a telephone meeting between regional directors (JYD: Jean-Yves B...; OP: Olivier Z...) allowed me to verify that the practices had indeed ceased. Indeed, at the end of 2005, I had doubts and asked our lawyers (...) to redo a training session, which took place in February 2006" (references 14683).</w:t>
      </w:r>
    </w:p>
    <w:p>
      <w:r>
        <w:t>385. Mr. Alain K... also acknowledges that the practices ended during the year 2003 without knowing the reason: "These meetings stopped during the year 2003, once the contacts at Langlois-Solvadis had left. Mr. Jean-Yves B... told us to stop but did not explain the reasons" (reference 37203).</w:t>
      </w:r>
    </w:p>
    <w:p>
      <w:r>
        <w:t>386. From the perspective of the Solvadis managers, contacts with Brenntag would indeed have ceased during the year 2003. Mr. Jacques L..., successor to Mr. Pierre C..., stated to the investigators that he definitively ended the practices during the year 2003, during the presidency of Mr. Marc-Antoine F... (reference 37203).</w:t>
      </w:r>
    </w:p>
    <w:p>
      <w:r>
        <w:t>387. However, the statements from Brenntag and the telephone records of Mr. Marc-Antoine F... which attest to exchanges with Mr. Jean-Yves B... (Brenntag), highlight that the practices ceased upon the arrival of Mr. Marc-Antoine F...'s successor, namely after October 2003. In the absence of more precise information provided by the companies, it can be reasonably concluded that the consultations between Brenntag and Solvadis definitively ceased as of October 2003.</w:t>
      </w:r>
    </w:p>
    <w:p>
      <w:r>
        <w:t>388. Consequently, in the western zone, Brenntag, through its Maine-Bretagne and Loire-Bretagne sites, and Langlois-Chimie (Solvadis) implemented from October 6, 1998, to October 2003, the following practices:</w:t>
        <w:br/>
        <w:t>- customer allocation for mineral chemistry;</w:t>
        <w:br/>
        <w:t>- concerted passing on of supplier price increases in the resale prices of mineral chemistry products.</w:t>
      </w:r>
    </w:p>
    <w:p>
      <w:r>
        <w:t>7. COMMON CHARACTERISTICS OF THE PRACTICES</w:t>
      </w:r>
    </w:p>
    <w:p>
      <w:r>
        <w:t>a) Each of the practices has an identical purpose</w:t>
      </w:r>
    </w:p>
    <w:p>
      <w:r>
        <w:t>389. The contextual elements that led to the implementation of the various practices in each of the areas are identical. The main distributors of chemical commodities faced very difficult market constraints (Seveso regulation) leading to heavy fixed asset investments and conditioning their maintenance in the market while, at the same time, Brenntag's competition through very aggressive pricing had eroded all their results and threatened the sustainability of their structures.</w:t>
      </w:r>
    </w:p>
    <w:p>
      <w:r>
        <w:t>390. In each of the four geographical areas (north, Rhône-Alpes, Burgundy, and west) where the practices of customer allocation and/or price coordination took place, the objective pursued by the companies involved was identical, namely, the preservation of their market shares and, at the very least, the restoration of their margin level.</w:t>
      </w:r>
    </w:p>
    <w:p>
      <w:r>
        <w:t>391. This common objective of the practices in question must be distinguished from their implementation modalities.</w:t>
      </w:r>
    </w:p>
    <w:p>
      <w:r>
        <w:t>b) The material characteristics of the practices</w:t>
      </w:r>
    </w:p>
    <w:p>
      <w:r>
        <w:t>The characteristics of the geographical areas concerned by the practices</w:t>
      </w:r>
    </w:p>
    <w:p>
      <w:r>
        <w:t>392. The Brenntag sites located in the northern, Rhône-Alpes, Burgundy, and western areas (Maine Bretagne and Loire Bretagne) generated in 1998 some of the lowest gross results in the group, in a difficult economic and regulatory context.</w:t>
      </w:r>
    </w:p>
    <w:p>
      <w:r>
        <w:t>393. These sites were primarily confronted with competition from the following companies which, themselves, had to face the difficulties encountered by Brenntag:</w:t>
        <w:br/>
        <w:t>- in the northern zone: Districhimie (Quaron) and RPC-Clément (Solvadis);</w:t>
        <w:br/>
        <w:t>- in the Rhône-Alpes zone: Quarréchim (Univar), Lambert-Rivière (Univar), and Vaissière-Favre (Univar);</w:t>
        <w:br/>
        <w:t>- in the Burgundy zone: Caldic Est;</w:t>
        <w:br/>
        <w:t>- in the western zone (Maine-Bretagne and Loire-Bretagne): Lambert-Rivière (Univar) and Langlois-Chimie (Solvadis).</w:t>
      </w:r>
    </w:p>
    <w:p>
      <w:r>
        <w:t>394. Furthermore, the aforementioned companies had a historically very strong position in these areas and, as such, were the main competitors of Brenntag in terms of market shares in the considered areas (references 32761 and 24332 to 24334). Thus, the most important sites of Lambert-Rivière, Vaissière Favre, and Quarréchim (which became Univar) were located in the Rhône-Alpes zone, while the most important sites of Langlois Chimie (which became Solvadis) were located in the west and north of France, and that of Districhimie in the north.</w:t>
      </w:r>
    </w:p>
    <w:p>
      <w:r>
        <w:t>395. The common characteristic of the four geographical areas concerned by the practices is the difficult situation of the storage sites for chemical commodities, due to the</w:t>
      </w:r>
    </w:p>
    <w:p>
      <w:r>
        <w:rPr>
          <w:b/>
        </w:rPr>
        <w:t>[Pages 76–78]</w:t>
      </w:r>
    </w:p>
    <w:p>
      <w:r>
        <w:t>new regulatory constraints, but also the financial difficulties of the companies, due to the very intense competitive conditions linked to the strong historical presence of the leaders in the said areas. Through the practices in question, these companies sought to extricate themselves from market conditions and to improve the financial situation of their struggling sites, thus responding to an economic objective of stabilizing market shares and restoring margins.</w:t>
      </w:r>
    </w:p>
    <w:p>
      <w:r>
        <w:t>The characteristics of the companies involved in the practices</w:t>
      </w:r>
    </w:p>
    <w:p>
      <w:r>
        <w:t>396. The practices in question are the result of a limited number of companies: Brenntag, the subsidiaries of the Vopak group (the companies Lambert-Rivière, Quarréchim, and Vaissière-Favre which became Univar in 2002), Langlois-Chimie and its 100% subsidiary, RPC-Clément, which will become Solvadis, as well as Districhimie and Caldic Est.</w:t>
      </w:r>
    </w:p>
    <w:p>
      <w:r>
        <w:t>397. These companies have particular characteristics. They are distributors of chemical commodities that had a strong national presence for Brenntag, and a regional presence for the others. Given their respective economic weight in each of the concerned areas, they played a strategic role in each of the regional practices.</w:t>
      </w:r>
    </w:p>
    <w:p>
      <w:r>
        <w:t>398. If one of the main companies in the concerned geographical area refused to participate in the consultation, it was impossible to implement it. Thus, in the Rhône-Alpes region, the management of Vaissière-Favre (Univar) initially declined the consultation offer from Brenntag and Lambert-Rivière (Univar). The customer distribution could not then be initiated. As Mr. Olivier Z... explained, the refusal of the manager of Vaissière-Favre (Univar) "did not allow for the effective implementation of the agreement (given the importance of this competitor)." A few weeks later, Vaissière-Favre (Univar) changed its mind and the consultation in the Rhône-Alpes area could begin.</w:t>
      </w:r>
    </w:p>
    <w:p>
      <w:r>
        <w:t>399. Furthermore, Mr. Olivier Z... emphasized that the competitors with whom Brenntag had consulted in the Rhône-Alpes region were its main competitors in the area: "The first agreement, in which I participated, took place in Lyon, at the end of the summer of 1998, when the results of Brenntag Rhône-Alpes were very poor (as were those of our main regional competitors, such as Quarrechim, Lambert Rivière, Vaissière), (...)” (reference 14669).</w:t>
      </w:r>
    </w:p>
    <w:p>
      <w:r>
        <w:t>400. Similarly, when one of them left one of the regional practices in question, it ceased. Thus, when Districhimie stopped participating in the practice in the northern area, due to the arrival of a new manager, the practice aimed at stabilizing the market shares of Brenntag, Districhimie, and RPC-Clément in this area could not continue because the renewed competition from Districhimie was, given its market weight, likely to challenge the consultation. Likewise, when Brenntag ended the practices following the instructions of Mr. Yves 14..., president of Brenntag in 2003, all the practices in question ceased, only the practice in the Rhône-Alpes area resumed with Univar.</w:t>
      </w:r>
    </w:p>
    <w:p>
      <w:r>
        <w:t>401. The four regional practices are characterized by the omnipresence of Brenntag, which ensures the link between them, and by the status of the co-authors of the practices in each of the areas. The latter are indeed, after Brenntag, the (or the) main distributors in the geographical area. The participants in the practices thus constitute in each area, a pair (or trio, for the west) of market "leaders":</w:t>
        <w:br/>
        <w:t>- in the north: Brenntag, Districhimie, and Solvadis (references 698 06/0075 AC, 24334 and 12075);</w:t>
        <w:br/>
        <w:t>- in the west: Brenntag, Solvadis, Univar (references 685, 06/0075 AC, 22715, 24332 and 12075, 12069);</w:t>
        <w:br/>
        <w:t>- in Rhône-Alpes: Brenntag, Univar (references 574, 06/0075 AC, 24333, 12075, 14669 and 14679);</w:t>
        <w:br/>
        <w:t>- in Burgundy: Brenntag, Caldic-Est (references 262, 06/0075 AC, 24333 and 32761).</w:t>
      </w:r>
    </w:p>
    <w:p>
      <w:r>
        <w:t>The pivotal role of Brenntag</w:t>
      </w:r>
    </w:p>
    <w:p>
      <w:r>
        <w:t>402. Due to its omnipresence in the four concerned geographical areas and its role in the functioning of the practices, Brenntag played a pivotal function, facilitated by its organization which is characterized by a division of the national territory into four major zones, each managed by a regional director: Mr. Jean-Pierre N..., director of the northern region (Ardennes, Lorraine, north and Picardie), Mr. Olivier Z..., director of the southern region (Rhône-Alpes, Burgundy Mediterranean, Dauphiné, and Côte d’Azur), Mr. Jean-Yves B..., director of the western region (Loire-Bretagne, Maine-Bretagne, Aquitaine and Midi-Pyrénées) and Mr. Bruno D..., director of the Île-de-France region (Île de France, Normandy and Loire Valley). In these 4 zones, 3 regional directors (Messrs. Olivier Z..., Jean-Pierre N... and Jean-Yves B...) participated in the practices. This organization allowed Brenntag to monitor the entire territory and thus to harmonize the practices in the zones it selected.</w:t>
      </w:r>
    </w:p>
    <w:p>
      <w:r>
        <w:t>403. Across all four zones, Brenntag played a central role in organizing the practices, knowing that at their inception, it held a preeminent position in the market for the distribution of chemical commodities in France, due to the national presence conferred by its 25 storage sites, and its membership in a large industrial and financial group.</w:t>
      </w:r>
    </w:p>
    <w:p>
      <w:r>
        <w:t>404. Indeed:</w:t>
        <w:br/>
        <w:t>- Brenntag initiated the launch meetings of the practices in the northern, Burgundy, and western zones;</w:t>
        <w:br/>
        <w:t>- Brenntag is the only company that participated in the practices across all four identified geographical zones. It represents the pivot and the driving force of all these consultation practices;</w:t>
        <w:br/>
        <w:t>- Brenntag monitored the practices in question in the northern, Burgundy, Rhône-Alpes, and western zones, ensuring, through meetings and phone calls, the proper respect for the volumes and clients distributed as well as the market shares of the different members;</w:t>
        <w:br/>
        <w:t>- the instructions of Mr. Yves 14..., president of Brenntag to terminate these practices, marked the end of these in the Burgundy, Rhône-Alpes zones and, concerning the bilateral consultation, in the western zone.</w:t>
      </w:r>
    </w:p>
    <w:p>
      <w:r>
        <w:t>Certain individuals are involved in several geographical areas concerned by the practices</w:t>
      </w:r>
    </w:p>
    <w:p>
      <w:r>
        <w:t>405. Regarding the individuals who participated in the consultations in more than one zone, it has been established that:</w:t>
        <w:br/>
        <w:t>- Mr. Olivier Z..., director of the southern region at Brenntag, participated in the launch meetings of the consultation practices in the Burgundy zone (meeting of June 5, 1998 in Reims), and in the Rhône-Alpes zone (meeting of September 1998 in Paris) and in the subsequent ones in this latter zone;</w:t>
        <w:br/>
        <w:t>- Mr. Jean-Pierre N..., director of the northern region at Brenntag, who at least gave his consent for the launch of the practices in the northern zone and participated with the site manager of Brenntag in Wattrelos, in the launch meeting of the consultation practices in the Burgundy zone, meeting of June 5, 1998 in Reims;</w:t>
        <w:br/>
        <w:t>- Ms. Laurence J..., Messrs. Jérôme 5..., Robert 6..., all three from Lambert-Rivière (Univar) then Univar, regularly participated in the consultation meetings in Rhône-Alpes and the west.</w:t>
      </w:r>
    </w:p>
    <w:p>
      <w:r>
        <w:t>406. While the number of individuals participating in meetings in several zones is limited in this case, the hierarchical functions held by each of the representatives of the four concerned companies were identical or similar, as they are regional managers holding responsibilities within the central bodies of the companies. Therefore, the participants in the meetings or other modalities of the consultation systematically engage the companies to which they belong.</w:t>
      </w:r>
    </w:p>
    <w:p>
      <w:r>
        <w:t>The involvement of all the general management of the groups in consultation</w:t>
      </w:r>
    </w:p>
    <w:p>
      <w:r>
        <w:t>407. The practices were implemented by the sites previously identified in each of the four geographical zones. However, the leaders of Univar (Lambert-Rivière, Vaissière-Favre, and Quarréchim), Brenntag, Solvadis (Langlois-Chimie, Districhimie, and RPC-Clément) were all aware of the implementation of the alleged practices by the three applicants for leniency, within their respective groups, in the different concerned zones. Indeed, they were informed of their implementation during consultation meetings in which some leaders participated directly or during management committees, in the case of Brenntag. It is also noteworthy that some leaders personally decided to cease the practices (Mr. Stéphane V... for Districhimie or Mr. Yves 14... for Brenntag).</w:t>
      </w:r>
    </w:p>
    <w:p>
      <w:r>
        <w:t>The consultation decisions were made by the regional directors of Brenntag and the headquarters of Brenntag was fully informed</w:t>
      </w:r>
    </w:p>
    <w:p>
      <w:r>
        <w:t>408. The practices were decided and implemented by the regional directors. Moreover, the general management of Brenntag was informed of these practices, due to its direct involvement, through the participation of its president in the launch meeting of the practices in the Rhône-Alpes zone, but also through the feedback on the consultation practices from the regional directors during management committees within Brenntag, and the financial results generated by the practices even though these sites had been specifically identified due to their low profitability.</w:t>
      </w:r>
    </w:p>
    <w:p>
      <w:r>
        <w:t>♦ The consultation decisions were made by the regional directors of Brenntag</w:t>
      </w:r>
    </w:p>
    <w:p>
      <w:r>
        <w:t>409. The regional directors and site managers of Brenntag in the northern, Burgundy, Rhône-Alpes, and western zones initiated and/or actively participated in the established consultation practices. These regional directors and site managers were the former directors of the companies acquired by Brenntag (references 337 and 686, 06/0075 AC, 573, 06/0092 AC, and 34075). Consequently, most of the local managers of Brenntag who appear to be at the origin of the alleged practices come from the Debauche group, acquired by Brenntag, a group in which they already held management positions. All these individuals already knew each other professionally before the implementation of the consultations. There was therefore a great proximity between them. Thus, the</w:t>
      </w:r>
    </w:p>
    <w:p>
      <w:r>
        <w:rPr>
          <w:b/>
        </w:rPr>
        <w:t>[Pages 79–81]</w:t>
      </w:r>
    </w:p>
    <w:p>
      <w:r>
        <w:t>the director of the northern region attended the kickoff meeting for the practices in question in the Burgundy area (reference 263, 06/0075 AC). ♦ The regional directors of Brenntag who participated in the consultation meetings and the established practices are also members of the management committee of Brenntag.</w:t>
      </w:r>
    </w:p>
    <w:p>
      <w:r>
        <w:t>410. The management committee of Brenntag was composed, in addition to the president Mr. Daniel X... and the general director, Mr. Philippe 29..., of the regional directors from the four geographical areas resulting from Brenntag's division (reference 35435):</w:t>
        <w:br/>
        <w:t>- from 1996 to 2004, Messrs. Jean-Pierre N..., Olivier Z..., Jean-Yves B..., Stéphane V..., and Bruno D.... Mr. Yves 14..., director of Brenntag specialties until 2002, who became the president of Brenntag in 2003;</w:t>
        <w:br/>
        <w:t>- from 2004 to 2006, Messrs. Jean-Pierre N..., Olivier Z..., Jean-Yves B..., and Bruno D....</w:t>
      </w:r>
    </w:p>
    <w:p>
      <w:r>
        <w:t>411. Messrs. Bruno D..., Daniel X..., Jean-Yves B..., and Stéphane V..., indicated that, except for Mr. Bruno D... for the Île-de-France region, 3 of the 4 regional directors of Brenntag, also members of the management committee, informed the other members of this management committee of Brenntag about the consultation practices implemented in their respective regions without any instruction to terminate them being given before that of Mr. Yves 14... in March 2003 (references 11942 to 11945, 13318 to 13322, 13332 to 13334, and 22503 to 22507). Thus, Mr. Jean-Yves B..., who implemented the practices in the western area, stated that he was aware of the practices in the other areas, due to the exchanges he had with the other regional directors (Messrs. Olivier Z... and Jean-Pierre N...) on this subject (references 34073 to 34078). Mr. Olivier Z..., who implemented the practices in the Rhône-Alpes and Burgundy areas, stated that he became aware of the practices in the northern area during the meeting on June 5, 1998, in Reims (references 32760 to 32764). Mr. Jean-Pierre N..., who implemented the practices in the northern area, indicated that he did not remember exchanging information about the practices concerning this area with the other regional directors or his hierarchy, but admitted that, reasonably, it could not have been otherwise (references 14652 to 14654).</w:t>
      </w:r>
    </w:p>
    <w:p>
      <w:r>
        <w:t>412. In its note regarding the practices in the Burgundy area, concerning the origin of the practices, Brenntag specified that "[t]he agreement would have begun with a meeting organized at the Mercure hotel in Reims (51) in 1998, presumably on June 5, 1998" (reference 262, 06/0075 AC). It is established that representatives of Brenntag from the southern region (Messrs. Olivier Z... and Paul 15...) and from the northern region (Messrs. Jean-Pierre N..., Gilles O..., Bernard 16..., and Jean 17...) were present at this meeting. The representatives from the northern region were therefore at least informed, on this occasion, of the practices that were to be implemented in the Burgundy region.</w:t>
      </w:r>
    </w:p>
    <w:p>
      <w:r>
        <w:t>413. The other regional directors, members of the management committee of Brenntag but who did not participate in the practices, also stated that they were informed of the existence of the collusive practices. Thus, Mr. Bruno D... specified that he was aware of the practices of the directors of the western and southern regions of Brenntag, during the management committee meetings (references 13332 to 13334). Furthermore, Mr. Stéphane V... made a statement in the same sense (references 11942 to 11945). Finally, Mr. Yves 14..., while he was still only the director of Brenntag specialties and a member of the management committee of Brenntag, stated that he had "heard about these practices through rumors in 1998/1999, while I was stationed in Lyon" (references 14678 to 14692).</w:t>
      </w:r>
    </w:p>
    <w:p>
      <w:r>
        <w:t>♦ The presidency and general management of Brenntag were aware of the practices</w:t>
      </w:r>
    </w:p>
    <w:p>
      <w:r>
        <w:t>414. Mr. Daniel X..., president of Brenntag, attended the kickoff meeting for the consultation practices in the Rhône-Alpes area in the fall of 1998 at the Novotel in Paris in the presence of representatives from Lambert-Rivière (Univar), Vaissière-Favre (Univar), and Quarréchim (Univar) (reference 573, 06/0092 AC). At the end of this meeting, no measures to prohibit these illegal practices were taken by him. Moreover, Mr. Daniel X... was kept informed of the progress of these practices during the management committee meetings he attended. He acknowledged being aware of the collusive practices in at least two areas, namely the Rhône-Alpes area and the western area (references 13318 to 13322).</w:t>
      </w:r>
    </w:p>
    <w:p>
      <w:r>
        <w:t>415. Thus, through Mr. Daniel X..., its president, members of the management committee including Mr. Yves 14..., and its general director, Mr. Philippe 29..., Brenntag was informed of the implementation of all the consultation practices. Mr. Daniel X... was aware of the progress of the consultation practices in question as evidenced by the statements of the members of the management committee of Brenntag (references 13318 to 13322, 13332 to 13334, 14652 to 14654, 14658 to 14660, 14669 to 14674, 14678 to 14692, and 22521 to 22527).</w:t>
      </w:r>
    </w:p>
    <w:p>
      <w:r>
        <w:t>416. The practices ceased, initially, following the instructions of Mr. Yves 14..., who succeeded Mr. Daniel X... as president of Brenntag in April 2003.</w:t>
      </w:r>
    </w:p>
    <w:p>
      <w:r>
        <w:t>The direct participation of the general management of Lambert-Rivière (Univar) in the consultation practices</w:t>
      </w:r>
    </w:p>
    <w:p>
      <w:r>
        <w:t>417. The general management of Lambert-Rivière (Univar) directly participated in the alleged consultation practices in the Rhône-Alpes and western areas.</w:t>
      </w:r>
    </w:p>
    <w:p>
      <w:r>
        <w:t>In the Rhône-Alpes area</w:t>
      </w:r>
    </w:p>
    <w:p>
      <w:r>
        <w:t>418. Between 1998 and 2000, Mr. Gilles 1..., responsible for sales in France for solvents at the headquarters of Lambert-Rivière (Univar), participated in the consultation meetings (references 571, 06/0092 AC, 26207, 37147, and 37148).</w:t>
      </w:r>
    </w:p>
    <w:p>
      <w:r>
        <w:t>419. Between 1998 and 2002, Mr. Loïc I..., who was successively responsible for industry for chemistry/petrochemistry and solvents at the national level at the general management, and regional director in the Rhône-Alpes and PACA areas of Lambert-Rivière (Univar), participated in the consultation meetings (references 26207, 37147, and 37148).</w:t>
      </w:r>
    </w:p>
    <w:p>
      <w:r>
        <w:t>420. Between 2000 and 2002, the following participated in the consultation meetings: Ms. Laurence J..., head of solvent products, Messrs. Marc 37... and Robert 6..., industry managers, Mr. François Xavier 2..., general director, all of whom were active at the headquarters of Lambert-Rivière, under the authority of Mr. Manuel 24..., commercial director of the Lambert-Rivière group (reference 26207).</w:t>
      </w:r>
    </w:p>
    <w:p>
      <w:r>
        <w:t>421. Ms. Laurence J... indicated that Mr. Manuel 24... was not only aware of the practices but had asked her to participate: "At the request of Manuel 24..., I was also, at the same time, the contact person for my competitors for collusive practices" (references 22795 to 22799).</w:t>
      </w:r>
    </w:p>
    <w:p>
      <w:r>
        <w:t>422. Univar confirmed, in its leniency application, the knowledge of these practices by the headquarters of Lambert-Rivière (Univar): "Thus, at the initiative of the local managers, it was decided in 1998 to gather the main players, namely Lambert-Rivière, Brenntag, Quarréchim, and Vaissière-Favre in Paris (at the Novotel de Bercy) in the presence of the leaders of each company (...) It was a local initiative carried out with the blessing of the Parisian managements of the said companies" (references 569 to 578, 06/0092 AC).</w:t>
      </w:r>
    </w:p>
    <w:p>
      <w:r>
        <w:t>In the western area</w:t>
      </w:r>
    </w:p>
    <w:p>
      <w:r>
        <w:t>423. The consultation practices were organized for the western area solely by telephone and on the occasion of each call for tenders for solvent purchases. Regarding Lambert-Rivière (Univar), the individuals responsible for these calls were, between 1999 and 2001, Mr. Jérôme 5..., regional manager for the west at the headquarters of Lambert-Rivière (Univar) who participated in the practices in the Rhône-Alpes area, and between 2001 and 2002, the head of solvent products at the headquarters of Lambert-Rivière (Univar) (references 577, 06/0092 AC, and 22796).</w:t>
      </w:r>
    </w:p>
    <w:p>
      <w:r>
        <w:t>424. Consequently, the consultation practices, both for the Rhône-Alpes area and for the western area, were implemented, for Lambert-Rivière (Univar), by managers from the company's headquarters located in Val de Fontenay.</w:t>
      </w:r>
    </w:p>
    <w:p>
      <w:r>
        <w:t>The direct participation of the general management of Vaissière-Favre (Univar) in the consultation practices</w:t>
      </w:r>
    </w:p>
    <w:p>
      <w:r>
        <w:t>425. Between 1998 and 2002, the president and CEO of Vaissière-Favre (Univar) personally participated in the kickoff meetings for the consultation practices in the Rhône-Alpes area (references 45, 06/0092 AC, 26207, and 26208).</w:t>
      </w:r>
    </w:p>
    <w:p>
      <w:r>
        <w:t>426. The involvement of the general management of Vaissière-Favre (Univar) through Mr. Jean-Jacques W..., its president, became effective after the second kickoff meeting for the practices during September 1998, at the restaurant "Le blason" in Saint Priest (69), as Brenntag indicated in its leniency application.</w:t>
      </w:r>
    </w:p>
    <w:p>
      <w:r>
        <w:t>427. At the same time, from 1998 to the end of 2002, the marketing and sales managers for solvents (Mr. Gilles 8...) and mineral chemistry (Mr. Michel E...) at the general management of the Vaissière-Favre group (Univar) also attended these meetings and implemented the consultation practices.</w:t>
      </w:r>
    </w:p>
    <w:p>
      <w:r>
        <w:t>428. The roles and functions of the representatives of Vaissière-Favre (Univar) at the meetings or their responsibility in implementing the alleged practices attest to the direct involvement of the company's headquarters in the consultation.</w:t>
      </w:r>
    </w:p>
    <w:p>
      <w:r>
        <w:t>The direct participation of the general management of Quarréchim (Univar) in the consultation practices</w:t>
      </w:r>
    </w:p>
    <w:p>
      <w:r>
        <w:t>429. The general management of Quarréchim (Univar) directly participated in the alleged consultation practices in the Rhône-Alpes area.</w:t>
      </w:r>
    </w:p>
    <w:p>
      <w:r>
        <w:t>430. Between 1998 and 2002, the representatives of the general management of Quarréchim (Univar) who participated in the consultation meetings included: Mr. Michel 3..., successively deputy general director and then president of the group, Mr. Jean-Claude 4..., sales manager, and Ms. Isabelle 7..., his sales assistant, and Mr. Pascal H..., a salesperson at the Genas site who became responsible for "key accounts" in 2002 (references 572, 06/0092 AC, 27147, 37148, 37165, 37175, 37185, and 37196).</w:t>
      </w:r>
    </w:p>
    <w:p>
      <w:r>
        <w:t>431. The roles and functions of the representatives of Quarréchim (Univar) at the meetings or their responsibility in implementing the alleged practices attest to the direct involvement of the company's headquarters in the consultation.</w:t>
      </w:r>
    </w:p>
    <w:p>
      <w:r>
        <w:rPr>
          <w:b/>
        </w:rPr>
        <w:t>[Pages 82–84]</w:t>
      </w:r>
    </w:p>
    <w:p>
      <w:r>
        <w:t>The direct participation of Univar's general management in concertation practices</w:t>
      </w:r>
    </w:p>
    <w:p>
      <w:r>
        <w:t>432. On January 1, 2003, Univar was created following the merger of the three French companies: Lambert-Rivière, Quarréchim, and Vaissière-Favre. The general management of Univar directly participated in the practices by attending concertation meetings and implementing the alleged practices.</w:t>
      </w:r>
    </w:p>
    <w:p>
      <w:r>
        <w:t>433. It should be recalled that the practices of Lambert-Rivière (Univar) ceased in the west at the end of 2002. At the time of Univar's creation, the only practices it continued were located in the Rhône-Alpes region.</w:t>
      </w:r>
    </w:p>
    <w:p>
      <w:r>
        <w:t>♦ The general manager of Univar was aware of the existence of concertation practices</w:t>
      </w:r>
    </w:p>
    <w:p>
      <w:r>
        <w:t>434. Mr. Manuel 24..., general manager of Univar, acknowledged being "aware of the subject of agreements in Lyon shortly after my arrival at Lambert Rivière, but this company was little present in solvents. It was my colleague Loïc I..., business manager, who participated as a representative of Lambert Rivière in local discussions" (references 13315 to 13317).</w:t>
      </w:r>
    </w:p>
    <w:p>
      <w:r>
        <w:t>435. Mr. Michel E..., director of the Centre region, confirmed the general manager's knowledge: "Mr. Manuel 24... was aware of the existence of agreements even though no reporting was communicated to him. Furthermore, after analysis around 2004, it appeared that Univar's results in the Centre East region, that the percentage of commercial margin was higher than in other regions" (references 22787 to 22790).</w:t>
      </w:r>
    </w:p>
    <w:p>
      <w:r>
        <w:t>436. Mr. Nicolas 30..., vice president of Univar EMEA and former commercial director of France, estimated that "[h]is boss, Mr. 24..., was aware of these practices which he did not seek to stop. I think he was primarily concerned with the merger of the three companies that formed Univar and had set this difficulty aside" (references 11163 to 11165).</w:t>
      </w:r>
    </w:p>
    <w:p>
      <w:r>
        <w:t>437. Ms. Laurence J... indicated that Mr. Manuel 24... was informed of the practices and asked him to participate (references 22795 to 22799).</w:t>
      </w:r>
    </w:p>
    <w:p>
      <w:r>
        <w:t>♦ The participation of Univar's general management in concertation meetings</w:t>
      </w:r>
    </w:p>
    <w:p>
      <w:r>
        <w:t>438. The executives and managers of Univar, partly from the former structures, continued the initial concertation practices and participated in concertation meetings from January 1, 2003, to June 30, 2005, in the Rhône-Alpes region.</w:t>
      </w:r>
    </w:p>
    <w:p>
      <w:r>
        <w:t>439. Between 2003 and 2005, Mr. Michel E..., director of the Centre zone, which includes the Rhône-Alpes zone, participated in concertation meetings (reference 45, 06/0092 AC and references 26206 to 26209). Between 2003 and 2004, Mr. Pascal H..., industry manager then sales manager of Univar's Centre zone, participated in concertation meetings (reference 45, 06/0092 AC and references 26206 to 26209). In 2003, Mr. Loïc I..., key accounts manager within Univar, participated in concertation meetings.</w:t>
      </w:r>
    </w:p>
    <w:p>
      <w:r>
        <w:t>440. The participation of these individuals, members of Univar's general management, in concertation meetings attests to the direct involvement of Univar's headquarters in the practices in question.</w:t>
      </w:r>
    </w:p>
    <w:p>
      <w:r>
        <w:t>The direct participation of the general management of Marce until 2001 (date of Brenntag's acquisition) in concertation practices</w:t>
      </w:r>
    </w:p>
    <w:p>
      <w:r>
        <w:t>441. Between 1998 and 2000, Mr. Bernard 34..., director of Marce, participated in concertation meetings in the Rhône-Alpes zone (reference 33116).</w:t>
      </w:r>
    </w:p>
    <w:p>
      <w:r>
        <w:t>The direct participation of the general management of Districhimie in concertation practices</w:t>
      </w:r>
    </w:p>
    <w:p>
      <w:r>
        <w:t>442. Between December 1997 and 2001, Mr. Luc T..., general manager of Districhimie until 2001, participated in concertation meetings with RPC-Clément and Brenntag in the North zone (references 37200, 37169, 37179, and 37189).</w:t>
      </w:r>
    </w:p>
    <w:p>
      <w:r>
        <w:t>443. Between October 24, 1998, and the fall of 2001, Ms. Claire U..., sales and purchasing manager at Districhimie until 2002, participated in concertation meetings with RPC-Clément and Brenntag at the request of Mr. Luc T... (references 34079 and 34080).</w:t>
      </w:r>
    </w:p>
    <w:p>
      <w:r>
        <w:t>The direct participation of the general management of RPC-Clément in concertation practices</w:t>
      </w:r>
    </w:p>
    <w:p>
      <w:r>
        <w:t>444. Between December 17, 1997, and June 28, 2001, Mr. Jean-Marc Q..., site manager of Lomme and member of the management team of RPC-Clément and Langlois-Chimie, participated in concertation meetings in the northern zone until June 2001. Mr. Jean-Marc R... succeeded him until 2003 (references 24735, 34492, 33902, 37119 to 37120, and 37188).</w:t>
      </w:r>
    </w:p>
    <w:p>
      <w:r>
        <w:t>445. Furthermore, RPC-Clément was a subsidiary of Langlois-Chimie, some members of whose management team participated in and/or were informed of the concertation practices, such as Messrs. Pascal 26..., Pierre C..., Marc-Antoine F..., and Jacques L... (references 37199, 37168, 37178, and 37188).</w:t>
      </w:r>
    </w:p>
    <w:p>
      <w:r>
        <w:t>The direct participation of the general management of Langlois-Chimie (Solvadis) in concertation practices</w:t>
      </w:r>
    </w:p>
    <w:p>
      <w:r>
        <w:t>446. Between October 1998 and December 2002, Mr. Pierre C..., industry director in charge of the western region, attached to the general management and member of the management committee of Langlois-Chimie between 1998 and 2002, and Mr. Pascal 26..., agri-food industry director attached to the general management and member of the management committee of the same company, participated in concertation meetings and telephone exchanges with their competitors in the western zone (references 13355, 33192 to 33195, 37115 to 37120, 37167, 37177, 37187, and 11103).</w:t>
      </w:r>
    </w:p>
    <w:p>
      <w:r>
        <w:t>The direct participation of the general management of Solvadis in concertation practices</w:t>
      </w:r>
    </w:p>
    <w:p>
      <w:r>
        <w:t>447. Mr. Marc-Antoine F..., chairman of the management board of Solvadis from June 2002 to October 2003, acknowledged having been informed of the practices during a meeting with Mr. Jean-Yves B... from Brenntag (references 34049, 34056, and 11103).</w:t>
      </w:r>
    </w:p>
    <w:p>
      <w:r>
        <w:t>448. Between February 2003 and January 2004, Mr. Jacques L..., director of the western zone within the general management, member of the management committee of Solvadis and member of the management team, acknowledged that he had not put an end to his company's participation in the concertation established by his predecessor, Mr. Pierre C..., and had participated in meetings and telephone contacts with his competitor (references 34105, 34110, and 11103).</w:t>
      </w:r>
    </w:p>
    <w:p>
      <w:r>
        <w:t>The participation of Caldic Est's general management in concertation practices</w:t>
      </w:r>
    </w:p>
    <w:p>
      <w:r>
        <w:t>449. The representatives of Caldic Est, Mr. Christian 18..., general manager, and Mr. Serge 19..., purchasing and sales director, participated on June 5, 1998, in Reims, in the launch meeting of concertation practices in the Burgundy zone (references 263, 06/0075 AC, 37166, 37176, 37186, and 37197).</w:t>
      </w:r>
    </w:p>
    <w:p>
      <w:r>
        <w:t>450. Mr. David 21..., a sales representative who became sales director and member of the management team from 2000, participated in the launch meeting of concertation practices in the Burgundy zone and implemented them (references 32880 to 32883).</w:t>
      </w:r>
    </w:p>
    <w:p>
      <w:r>
        <w:t>451. Furthermore, Mr. Marc-Antoine F..., general manager from 2000 to 2001, stated that he contacted his competitors to avoid any negative reaction from them (references 37216 to 37219).</w:t>
      </w:r>
    </w:p>
    <w:p>
      <w:r>
        <w:t>The practices concern the distribution of chemical commodities</w:t>
      </w:r>
    </w:p>
    <w:p>
      <w:r>
        <w:t>452. The four regional practices concern the distribution activity of chemical commodities, including products from mineral chemistry and solvents, carried out by all companies involved in the practices in question.</w:t>
      </w:r>
    </w:p>
    <w:p>
      <w:r>
        <w:t>453. The distribution of chemical commodities, whether solvents or mineral chemistry, is characterized by the provision of specific services:</w:t>
        <w:br/>
        <w:t>- chemical commodity distributors manage a multitude of suppliers and products, both solvents and mineral chemistry;</w:t>
        <w:br/>
        <w:t>- they ensure the logistics of all these products (notably storage within warehouses and transportation);</w:t>
        <w:br/>
        <w:t>- they provide specific services (packaging according to needs, mixing, labeling, safety information).</w:t>
      </w:r>
    </w:p>
    <w:p>
      <w:r>
        <w:t>454. Customers can simultaneously purchase solvents and mineral chemistry products from the same chemical commodity distributor.</w:t>
      </w:r>
    </w:p>
    <w:p>
      <w:r>
        <w:t>455. The companies Brenntag, Univar (Lambert-Rivière, Vaissière-Favre, and Quarréchim), Solvadis (Langlois-Chimie and its subsidiary RPC-Clément), Caldic Est, and Districhimie, all operating in the same market of chemical commodity distribution in France, are therefore competitors in this market, regardless of the categories of products sold: mineral chemistry products or solvents.</w:t>
      </w:r>
    </w:p>
    <w:p>
      <w:r>
        <w:t>456. Brenntag denounced, in its leniency request, the existence of practices in the chemical commodity distribution sector and not in a market for the marketing of solvents or mineral chemistry products, let alone caustic soda, bleach, or ferric acid. Thus, in its observations on the leniency report, dated March 5, 2007, "Brenntag submitted to the General Rapporteur a request for the implementation of the procedure under Article L. 464-2 of IV of the Commercial Code, for practices implemented in the chemical product distribution sector" (reference 803, 06/0075 AC). Consequently, in its leniency request, Brenntag denounced practices in the chemical product distribution sector, which will be limited to commodities only. Even though Brenntag subsequently described the products subject to the practices, and with the exception of the case of caustic soda, a product of mineral chemistry, in the northern zone, it always reasoned by large product categories: either chemical commodities, or mineral chemistry products, or solvent products, which cover a very large number of different chemical products with distinct uses.</w:t>
      </w:r>
    </w:p>
    <w:p>
      <w:r>
        <w:rPr>
          <w:b/>
        </w:rPr>
        <w:t>[Pages 85–87]</w:t>
      </w:r>
    </w:p>
    <w:p>
      <w:r>
        <w:t xml:space="preserve">457. Furthermore, in its observations on the leniency report of March 5, 2007, Brenntag mentioned "practices implemented in the sector of chemical commodities distribution" and referred to "five regional agreements" that combine practices across different categories of chemical products. Brenntag also emphasized that it "first revealed five of the six agreements on products to your Council," that is, on chemical commodities, considered as a whole (references 802, 805, and 808, 06/0075 AC).  </w:t>
        <w:br/>
        <w:t xml:space="preserve">458. The conditional leniency notice from the Council No. 07-AC-04 of March 23, 2007, concerning the practices denounced by Brenntag, was issued for practices in the chemical commodities sector without any distinction of practices according to the products concerned.  </w:t>
        <w:br/>
        <w:t xml:space="preserve">459. Therefore, in light of the practices in question in the northern, Burgundy, Rhône-Alpes, and western zones, the leniency statements, and the observations of March 5, 2007, from Brenntag, the latter denounced regional practices affecting the distribution sector of chemical commodities, which constitutes the activity that was affected by the practices in question.  </w:t>
        <w:br/>
        <w:t xml:space="preserve">The nature and functioning modalities of the practices in question  </w:t>
        <w:br/>
        <w:t xml:space="preserve">460. All the practices in question took two forms, regardless of the geographical area concerned:  </w:t>
        <w:br/>
        <w:t xml:space="preserve">- a customer allocation whose objective was to preserve the market shares of each member and which varied according to customer categories: strategic customers for the companies (the most important but also those who were price-sensitive and could destabilize the market shares of distributors in case of competitive market situations) received particular attention in the form of a meticulous sharing of volumes, products, or by period. Other customers, those who regularly contacted the same distributor and who were less price-sensitive, were subject to a non-aggression pact among the members;  </w:t>
        <w:br/>
        <w:t xml:space="preserve">- a price coordination aimed at increasing the level of margins, and thus the results and performance of the companies, but also to facilitate the customer allocation practice, thereby setting minimum prices from which cover offers were formulated.  </w:t>
        <w:br/>
        <w:t xml:space="preserve">461. These two modalities of consultation are complementary. Indeed, for the participants, it was about freezing competition to restore the results of their struggling sites. This involved a customer allocation that would be all the more loyal to the designated awardee as the prices in the market would result from the price coordinations.  </w:t>
        <w:br/>
        <w:t xml:space="preserve">462. Price coordination was more or less structured according to the zones. Thus, in the Rhône-Alpes zone, the companies involved in the practices developed a monthly "cartel price" for solvents and a "cartel price" for mineral chemistry. Even though Brenntag reports in its leniency application that a "cartel price" was communicated by its site located in Chassieu (69) to the one located in Torcy (71), it was not possible to establish the existence of a "cartel price" for the Burgundy zone, especially since some of the documents provided by Brenntag indicate that its Torcy site and Caldic Est regularly called each other by phone to jointly determine prices to be practiced. This pricing modality was also used in the northern and western zones.  </w:t>
        <w:br/>
        <w:t xml:space="preserve">The practices observe the same chronology and continuity  </w:t>
        <w:br/>
        <w:t xml:space="preserve">463. The starting point of these practices is directly correlated to the degraded regulatory, economic, and financial context, as previously stated, and to the desire to abstract from these market conditions.  </w:t>
        <w:br/>
        <w:t xml:space="preserve">464. The practices began in the northern zone; at least from December 17, 1997, a consultation was initiated between Brenntag from its site in Wattrelos (59), RPC-Clément (now Solvadis) from its site in Lomme (59), and Districhimie (now Quaron) from its site in Haubourdin (59) (reference 2869); the practices gradually extended to other regions.  </w:t>
        <w:br/>
        <w:t xml:space="preserve">465. They began in the Burgundy zone, following the meeting of June 5, 1998, attended by Brenntag and Caldic Est.  </w:t>
        <w:br/>
        <w:t xml:space="preserve">466. The practices in the Rhône-Alpes zone were initiated following the meeting held in September 1998 in Paris, between Brenntag, Marce, Lambert-Rivière, and Vaissière-Favre.  </w:t>
        <w:br/>
        <w:t xml:space="preserve">467. Finally, in the western zone, on October 6, 1998, following the regional chemistry days in Dinard, Brenntag and Langlois Chimie (now Solvadis) engaged in the practices.  </w:t>
        <w:br/>
        <w:t xml:space="preserve">468. Thus, the beginning of the practices in the four zones is part of a temporal continuum, spanning a few months (December 1997-October 1998).  </w:t>
        <w:br/>
        <w:t xml:space="preserve">469. Regarding the evolution of the practices over time, it appears that in each of the concerned zones:  </w:t>
        <w:br/>
        <w:t xml:space="preserve">- the practices in question in each of the geographical zones concerned focused on the distribution of chemical commodities, while some of these distributors also marketed other products, such as specialties that were not the subject of the practices;  </w:t>
        <w:br/>
        <w:t xml:space="preserve">- the parties coordinated according to the same modalities;  </w:t>
        <w:br/>
        <w:t xml:space="preserve">- the practices in question aimed at the same objective: the stabilization of market shares of the members of the consultation and the restoration of their profitability level;  </w:t>
        <w:br/>
        <w:t xml:space="preserve">- the main distributors of chemical commodities from the different concerned zones participated in the practices.  </w:t>
        <w:br/>
        <w:t xml:space="preserve">470. Throughout the period covered by the practices, Brenntag played a particular role, due to its presence in each of the concerned geographical zones.  </w:t>
        <w:br/>
        <w:t xml:space="preserve">471. Even though the practices ceased in September 2001 in the northern zone, due to an exogenous factor, namely the arrival of a new manager, and in December 2002, concerning the tripartite practice in the west, the year 2003 marks the stopping point of the practices in the other geographical zones, particularly following the initiative of the president of Brenntag who, upon taking office in March 2003, ordered the cessation of the practices and organized, during April of the same year within his company, training on competition law. Following these instructions, Brenntag interrupted the practices in the Burgundy zone with Caldic Est, starting from June 2003.  </w:t>
        <w:br/>
        <w:t xml:space="preserve">472. At the same time, and following these instructions, the director of the southern region at Brenntag and the one of the Centre region at Univar would also have ceased during June 2003 the practices initially implemented in the Rhône-Alpes zone and adopted a non-aggression pact starting from the autumn of 2003 consisting of maintaining each other's positions. Starting from December 2003, this tacit pact led to a resumption of consultations. The practices between Brenntag and Univar definitively ceased in June 2005.  </w:t>
        <w:br/>
        <w:t xml:space="preserve">473. Brenntag, Langlois Chimie (Solvadis), and Lambert-Rivière (Univar) ceased the practices in two stages: for the tripartite consultation on solvents in December 2002, following the merger of the companies Lambert-Rivière, Quarréchim, and Vaissière-Favre into Univar, and for the bipartite consultation in October 2003, for mineral chemistry products.  </w:t>
        <w:br/>
        <w:t xml:space="preserve">474. Consequently, between June 2003 and June 2005, the practices in question ceased through successive breaks. Such a situation can be explained by the decentralized nature of the implementation of the consultation. However, even if between December 2003 and June 2005, only Brenntag and Univar continued their coordination actions in the only Rhône-Alpes zone, the practices that persisted are similar to those that occurred during the previous period.  </w:t>
        <w:br/>
        <w:t xml:space="preserve">475. The suspension period mentioned by Brenntag lasts only from April 2003 to September 2003. According to Brenntag's statements, it seems that contacts continued between representatives of Brenntag and Univar until the summer of 2003. In September 2003, Brenntag identified the return to a "non-aggression pact" which, starting from December 2003, led to a new consultation, materialized by meetings between managers of Brenntag Rhône-Alpes and Univar and by "monitoring of the non-aggression pact" (Brenntag Memorandum of December 29, 2006, reference 582, 06/0075 AC). Consequently, the duration of the suspension was approximately six months out of a total of nearly eight years.  </w:t>
        <w:br/>
        <w:t xml:space="preserve">8. THE PRACTICES IMPLEMENTED BY BRENNTAG (FROM ITS MAINE-BRETAGNE SITE) AND CHEMCO  </w:t>
        <w:br/>
        <w:t xml:space="preserve">476. Brenntag implemented a consultation with the company Chemco. The practice established between these two companies consisted of sharing deliveries of methanol to the customer GKN Driveline (formerly GKN Glaenzer – Spicer, hereinafter referred to as "GKN"), which was accompanied by a price coordination (references 13424 to 13425).  </w:t>
        <w:br/>
        <w:t xml:space="preserve">477. This consultation is not related to the previously described practices. Indeed, the practice implemented by Brenntag and Chemco concerns a distinct sector from that of the marketing of chemical commodities by distributors, namely that of bulk sales of chemical commodities or "trading" as defined in points 26 and following of this decision. Furthermore, it does not fall within the same temporal framework as it begins in 2000 and ends in 2007.  </w:t>
        <w:br/>
        <w:t xml:space="preserve">a) The origin of the consultation  </w:t>
        <w:br/>
        <w:t xml:space="preserve">478. This consultation was implemented at the beginning of the year 2000 at the initiative of Mr. Alain K..., commercial director of the Maine-Bretagne site, between Brenntag and Chemco. Before the implementation of the consultation, GKN alternately purchased methanol by full trucks from Brenntag and Chemco, at a rate of 3 trucks per quarter.  </w:t>
        <w:br/>
        <w:t>479. Thus, Mr. Alain K... stated during his hearing that he initiated, at the request of his superior and regional director, Mr. Jean-Yves B..., the consultation by contacting his counterpart at Chemco: "Chemco was in charge of the customer GKN and I had found this</w:t>
      </w:r>
    </w:p>
    <w:p>
      <w:r>
        <w:rPr>
          <w:b/>
        </w:rPr>
        <w:t>[Pages 88–90]</w:t>
      </w:r>
    </w:p>
    <w:p>
      <w:r>
        <w:t>client as a salesperson. The following year I lost this client. Mr. Jean-Yves B... asked me to contact the competition to deliver to this client. I therefore contacted Mr. Jean-Louis 31... to agree on the prices to be submitted during GKN's quarterly quotation requests and to determine which of us would win the order. We mainly coordinated by phone" (reference 37205).</w:t>
      </w:r>
    </w:p>
    <w:p>
      <w:r>
        <w:t>b) The purpose of the coordination</w:t>
      </w:r>
    </w:p>
    <w:p>
      <w:r>
        <w:t>480. The practice consisted, on the one hand, of dividing the methanol orders placed by their client and, on the other hand, of agreeing on the rates to be applied to GKN. Furthermore, the companies agreed to alternately and mutually purchase, each quarter, a truck of methanol at the price negotiated in coordination between the two companies and granted to GKN.</w:t>
      </w:r>
    </w:p>
    <w:p>
      <w:r>
        <w:t>481. Thus, during a quarter, the distributor who delivered the client for the quarter had to pass on the margin obtained on one of the deliveries by purchasing a truck of methanol from the other distributor who did not deliver the client during that quarter (references 13424 to 13426). In this way, out of the three deliveries made by one of the participants during a quarter, one truck came from the other distributor, which guaranteed these companies revenue from the agreement for the entire year.</w:t>
      </w:r>
    </w:p>
    <w:p>
      <w:r>
        <w:t>482. As explained by Brenntag: "In a given quarter, three trucks were thus delivered (approximately one per month) to Glaenzer. All three were delivered by Brenntag Maine Bretagne to Glaenzer, but one of the three trucks was purchased by the Maine Bretagne site from Chemco, at a higher price, which allowed for part of the margin received from the sale of one truck out of three to be passed on to Chemco. An inverse system (delivery of three trucks by Chemco to Glaenzer and purchase by Chemco of one truck from Brenntag) could also exist, and can notably be observed to some extent in the documents available from 2003" (reference 14364).</w:t>
      </w:r>
    </w:p>
    <w:p>
      <w:r>
        <w:t>483. The collected elements confirm the statements of the leniency applicant regarding the existence of a coordination between the companies Brenntag and Chemco aimed at dividing the methanol orders from the client GKN.</w:t>
      </w:r>
    </w:p>
    <w:p>
      <w:r>
        <w:t>484. Firstly, there is a perfect regularity in the alternation of order placements between the two suppliers of GKN between January 2000 and March 2007, as illustrated by the table below, established from the invoices of the companies Brenntag and Chemco (references 27001 to 27002 and 13429 to 13447).</w:t>
      </w:r>
    </w:p>
    <w:p>
      <w:r>
        <w:t>2000 2001 2002 2003 2004 2005 2006 2007</w:t>
        <w:br/>
        <w:t>Delivery by Jan., Jan., Jan., May, Apr., Oct. Feb., Apr., Jan.,</w:t>
        <w:br/>
        <w:t>Brenntag Feb., Feb., Feb., Jul., Apr., Jun, Mar</w:t>
        <w:br/>
        <w:t>Mar, Mar, Mar, Nov. Jul., Aug.,</w:t>
        <w:br/>
        <w:t>Jul., Jul., Jul., Oct., Sept.,</w:t>
        <w:br/>
        <w:t>Aug., Sept., Sept., Dec. Dec.</w:t>
        <w:br/>
        <w:t>Sept. Oct. Oct.</w:t>
        <w:br/>
        <w:t>Delivery by Apr., May Apr., Jan., Feb., Jan., Feb., May, February</w:t>
        <w:br/>
        <w:t>Chemco May, (x2), May, Mar, Mar, Mar, Jul.,</w:t>
        <w:br/>
        <w:t>Jun, Jun, Jun, Apr., May, Jun, May, Nov.</w:t>
        <w:br/>
        <w:t>Oct., Nov., Nov., Jun, Aug, Sept.,</w:t>
        <w:br/>
        <w:t>Nov., Dec. Dec. Sept., Sept., Nov.</w:t>
        <w:br/>
        <w:t>Dec. Oct., Nov.</w:t>
        <w:br/>
        <w:t>Dec.</w:t>
        <w:br/>
        <w:t>Delivery by N/A N/A N/A N/A N/A N/A N/A N/A</w:t>
        <w:br/>
        <w:t>Haugel</w:t>
        <w:br/>
        <w:t>Month without N/A Aug Aug July + July, June, January, N/A</w:t>
        <w:br/>
        <w:t>delivery Aug Aug Aug Mar</w:t>
      </w:r>
    </w:p>
    <w:p>
      <w:r>
        <w:t>485. Secondly, it appears from the supplier accounts provided by the parties that cross deliveries between Brenntag and Chemco did indeed take place. However, these cross deliveries between competing suppliers ceased during the year 2004.</w:t>
      </w:r>
    </w:p>
    <w:p>
      <w:r>
        <w:t>486. For example, Brenntag delivered to Chemco (reference 27001):</w:t>
        <w:br/>
        <w:t>in 2000: one truck of methanol in May and November;</w:t>
        <w:br/>
        <w:t>o</w:t>
        <w:br/>
        <w:t>in 2001: one truck of methanol in May and December;</w:t>
        <w:br/>
        <w:t>o</w:t>
        <w:br/>
        <w:t>in 2002: one truck of methanol in May;</w:t>
        <w:br/>
        <w:t>o</w:t>
        <w:br/>
        <w:t>in 2003: 2 trucks of methanol in April and October (references 27115 and</w:t>
        <w:br/>
        <w:t>o</w:t>
        <w:br/>
        <w:t>27134);</w:t>
        <w:br/>
        <w:t>in 2004: 1 truck of methanol in June (reference 27139).</w:t>
        <w:br/>
        <w:t>o</w:t>
      </w:r>
    </w:p>
    <w:p>
      <w:r>
        <w:t>487. During the same period, Chemco supplied methanol to Brenntag:</w:t>
        <w:br/>
        <w:t>in 2000: one truck in February and September (references 27049 and 27053);</w:t>
        <w:br/>
        <w:t>o</w:t>
        <w:br/>
        <w:t>in 2001: one truck in February and October (references 27026 and 27072);</w:t>
        <w:br/>
        <w:t>o</w:t>
        <w:br/>
        <w:t>in 2002: one truck in March (reference 27078).</w:t>
        <w:br/>
        <w:t>o</w:t>
      </w:r>
    </w:p>
    <w:p>
      <w:r>
        <w:t>488. Consequently, cross deliveries did indeed occur between Brenntag and Chemco between 2000 and 2004.</w:t>
      </w:r>
    </w:p>
    <w:p>
      <w:r>
        <w:t>489. Mr. Alain K..., commercial director of the Maine-Bretagne site and a key player in the coordination for Brenntag, confirmed during his hearing the leniency statements: "We set up cross deliveries which consisted of buying a truck of methanol from Chemco when Brenntag Maine-Bretagne delivered to the client GKN" (reference 37205).</w:t>
      </w:r>
    </w:p>
    <w:p>
      <w:r>
        <w:t>490. Furthermore, it appears from the summary table of methanol deliveries and purchases provided by Chemco that the amounts in euros for purchases of methanol from Brenntag for the period in question are systematically higher than the orders placed subsequently and previously with other suppliers (see table below and reference 27001).</w:t>
      </w:r>
    </w:p>
    <w:p>
      <w:r>
        <w:t>Summary table of price differences between purchases from Brenntag and other suppliers</w:t>
        <w:br/>
        <w:t>Order date Price of the order Price of the previous order Price of the following order in</w:t>
        <w:br/>
        <w:t>in euros (Brenntag) in euros (Supplier) euros (Supplier)</w:t>
        <w:br/>
        <w:t>05/05/2000 4482 3393.94 (Aectra) 3455.85 (Aectra)</w:t>
        <w:br/>
        <w:t>24/11/2000 7077.54 6181.04 (Aectra) 5970.02 (Aectra)</w:t>
        <w:br/>
        <w:t>31/05/2001 7557.89 6060.59 (GMS) 5853.27 (GMS)</w:t>
        <w:br/>
        <w:t>17/12/2001 6204.90 3595.95 (GMS) 2855 (Metanolo Med)</w:t>
        <w:br/>
        <w:t>30/05/2002 6126.48 3492.62 (GMS) 3676.04 (GMS)</w:t>
        <w:br/>
        <w:t>15/04/2003 7533 5027.63 (GMS) 6186.96 (GMS)</w:t>
        <w:br/>
        <w:t>27/10/2003 6890.40 4610.92 (GMS) 4578.05 (GMS)</w:t>
        <w:br/>
        <w:t>15/04/2004 7528.50 4895.80 (GMS) 5237.79 (GMS)</w:t>
      </w:r>
    </w:p>
    <w:p>
      <w:r>
        <w:t>491. This table corroborates Brenntag's statements that the two distributors agreed to jointly set a supra-competitive price for GKN and to compensate the one of the two who did not deliver the client, through deliveries at high prices. Mr. Alain K..., former commercial director of the Maine-Bretagne site, stated during his hearing that he bought "the methanol from Chemco at a higher price than from our other suppliers" (reference 37205).</w:t>
      </w:r>
    </w:p>
    <w:p>
      <w:r>
        <w:t>492. Furthermore, it was noted that, depending on the Brenntag site delivered, the prices of a truck of methanol could vary significantly. In this regard, it appears from the summary table provided by Chemco that it supplied several Brenntag sites with bulk methanol between February 26 and April 19, 2002, within a very short time frame (see table below and references 27001 and 27002).</w:t>
      </w:r>
    </w:p>
    <w:p>
      <w:r>
        <w:t>Delivery date Brenntag site Amount (in euros) Quantity (in tons)</w:t>
        <w:br/>
        <w:t>26/02/2002 Brenntag Méditerranée 2992.04 22.840</w:t>
        <w:br/>
        <w:t>04/03/2002 Brenntag Cote d’Azur 2957.98 22.580</w:t>
        <w:br/>
        <w:t>05/03/2002 Brenntag Méditerranée 3031.34 23.140</w:t>
        <w:br/>
        <w:t>21/03/2002 Brenntag Maine Bretagne 6237.14 23.976</w:t>
        <w:br/>
        <w:t>19/04/2002 Brenntag Cote d’Azur 3525 23.5</w:t>
      </w:r>
    </w:p>
    <w:p>
      <w:r>
        <w:t>493. It can thus be observed that, over this short period, Chemco delivered to the Brenntag site, for similar quantities, at a price nearly twice that charged to other sites.</w:t>
      </w:r>
    </w:p>
    <w:p>
      <w:r>
        <w:t>494. Finally, it appears from the invoices sent by Chemco to Brenntag that the delivery address was systematically that of GKN (references 27026, 27049, 27053, 27072, and 27078).</w:t>
      </w:r>
    </w:p>
    <w:p>
      <w:r>
        <w:t>495. In parallel, the invoices sent by Brenntag to Chemco, communicated to the Authority by the latter, bear the handwritten mention of the client GKN (references 27088, 27095, 27115, 27134, and 27139). Similarly, two invoices sent to Chemco by GMS, a methanol supplier, contain the handwritten mention: "Brenntag →GKN 72" or "Brenntag for GKN" (references 27086 and 27092).</w:t>
      </w:r>
    </w:p>
    <w:p>
      <w:r>
        <w:t>496. When questioned about this practice whereby a supplier indicates to a competitor the delivery address of its own client as well as the final billed price, Mr. Alain K..., former commercial director of the Maine-Bretagne site, stated that "[i]t is not usual in the profession to indicate to a competitor who provides you with the address of the end client. To my knowledge, Brenntag has never done this" (reference 37206).</w:t>
      </w:r>
    </w:p>
    <w:p>
      <w:r>
        <w:t>497. Finally, when questioned about these practices, the company GKN stated that it had sourced from Brenntag and Chemco until mid-2007. Then, after a third company had emerged, this client found that the prices charged by Brenntag and Chemco were not competitive and consequently ceased all orders with these two suppliers. For GKN, "there was clearly an agreement between the companies Brenntag and Chemco on the pricing of methanol. There was no competition but a market sharing" (reference 11016).</w:t>
      </w:r>
    </w:p>
    <w:p>
      <w:r>
        <w:t>498. It should be noted that Chemco acknowledged the existence of a distribution of deliveries between it and Brenntag and admitted that it was aware of its competitor's prices (references 38271 to 38275). However, this company contests that the practice can be qualified as anti-competitive behavior.</w:t>
      </w:r>
    </w:p>
    <w:p>
      <w:r>
        <w:rPr>
          <w:b/>
        </w:rPr>
        <w:t>[Pages 91–93]</w:t>
      </w:r>
    </w:p>
    <w:p>
      <w:r>
        <w:t>499. It appears from the customer accounts provided by Brenntag and Chemco that the amount of methanol deliveries by these two companies to GKN amounted, during the period of the practices, to nearly 800,000 euros (references 13431 to 13439, 27001, and 27002).</w:t>
      </w:r>
    </w:p>
    <w:p>
      <w:r>
        <w:t>c) The duration of the consultation</w:t>
      </w:r>
    </w:p>
    <w:p>
      <w:r>
        <w:t>500. As established above, based on the customer accounts and supplier accounts, Brenntag (Maine Bretagne) and Chemco indeed carried out alternating deliveries of methanol to the company GKN between January 2000 and March 2007 and conducted cross-deliveries between them for a shorter period. These findings corroborate Brenntag's statements in its leniency application and establish a concerted practice from January 31, 2000, to March 2007.</w:t>
      </w:r>
    </w:p>
    <w:p>
      <w:r>
        <w:t>E. RECALL OF THE CHARGES</w:t>
      </w:r>
    </w:p>
    <w:p>
      <w:r>
        <w:t>501. By letter dated June 12, 2012, the general rapporteur of the Authority notified the companies Solvadis, Solvadis GmbH, Solvadis Holding SARL, GEA Group Aktiengesellschaft, Brenntag, DB Mobility Logistics AG, E.ON AG, Deutsche Bahn AG, Brenntag France Holding SAS, Brenntag Foreign Holding GmbH, Brenntag Beteiligungs GmbH, Brenntag Holding GmbH, Univar, Univar France SNC, Univar France BV, Univar Europe Holdings BV, Univar NV, and Caldic Est, of the charge of having:</w:t>
      </w:r>
    </w:p>
    <w:p>
      <w:r>
        <w:t>“participated in a complex and ongoing agreement in the market for the distribution of chemical commodities in France, by implementing, in several geographical areas of French territory, agreements and concerted practices contributing to the same overall objective aimed, on the one hand, at jointly fixing the selling prices of all chemical commodities by simultaneously passing on the price increases from their respective suppliers regarding solvents and mineral chemistry and, on the other hand, stabilizing their market shares through customer allocation practices (customer assignment, order distribution by volumes or periods, cover offers).</w:t>
      </w:r>
    </w:p>
    <w:p>
      <w:r>
        <w:t>By pursuing this anti-competitive objective, the recipients of the charges imposed on the French market for the distribution of chemical commodities, in several geographical areas of French territory, an organizational mode substituting for the free play of competition, autonomy, and uncertainty, a generalized collusion among distributors of chemical commodities harming the price setting by the free play of the market and organizing a market allocation. These agreements and practices had the object and are likely to have had, in particular, the effect of maintaining artificially high selling prices and obstructing the free choice of consumers of chemical commodities regarding their supplier.</w:t>
      </w:r>
    </w:p>
    <w:p>
      <w:r>
        <w:t>These agreements and practices have been implemented since at least December 17, 1997, and until June 2005. The charges will be notified to the following companies according to the periods below:</w:t>
      </w:r>
    </w:p>
    <w:p>
      <w:r>
        <w:t>Solvadis</w:t>
        <w:br/>
        <w:t>- from December 17, 1997, to October 2003: Solvadis France SA, Solvadis GmbH, Solvadis Holding SARL, and GEA Group Aktiengesellschaft.</w:t>
      </w:r>
    </w:p>
    <w:p>
      <w:r>
        <w:t>Brenntag</w:t>
        <w:br/>
        <w:t>- from December 17, 1997, to June 2005: Brenntag;</w:t>
        <w:br/>
        <w:t>- from December 17, 1997, to October 17, 2002: the companies Brenntag France Holding SAS, DB Mobility Logistics AG, and E.ON AG;</w:t>
        <w:br/>
        <w:t>- from October 18, 2002, to January 2004: the companies Brenntag France Holding SAS, DB Mobility Logistics AG, and Deutsche Bahn AG;</w:t>
        <w:br/>
        <w:t>- from February 2004: Brenntag France Holding SAS; Brenntag Foreign Holding GmbH; Brenntag Beteiligungs GmbH; Brenntag Holding GmbH.</w:t>
      </w:r>
    </w:p>
    <w:p>
      <w:r>
        <w:t>Univar</w:t>
        <w:br/>
        <w:t>- from September 1, 1998, to June 2005: Univar SAS as well as its parent companies Univar France SNC, Univar Europe Holdings BV, Univar NV.</w:t>
      </w:r>
    </w:p>
    <w:p>
      <w:r>
        <w:t>Caldic</w:t>
        <w:br/>
        <w:t>- from June 5, 1998, to June 2003: Caldic Est SASU.”</w:t>
      </w:r>
    </w:p>
    <w:p>
      <w:r>
        <w:t>502. The general rapporteur, by letter dated June 12, 2012, notified a second charge to the companies Brenntag, DB Mobility Logistics AG, E.ON AG, Deutsche Bahn AG, Brenntag France Holding SAS, Brachem France Holding SAS, Brenntag Foreign Holding GmbH, Brenntag Beteiligungs GmbH, Brenntag Holding GmbH, and Chemco France SARL consisting of having:</w:t>
      </w:r>
    </w:p>
    <w:p>
      <w:r>
        <w:t>“from January 2000 to March 2007, a period not covered by the statute of limitations, participated in a unique and ongoing agreement, by implementing a concerted practice aimed at allocating the deliveries of orders for the chemical commodity methanol from the company GKN Driveline and jointly fixing the prices charged to this client, resulting in misleading the client about the reality and extent of competition in the market, a practice contrary to the provisions of Article L. 420-1, notably 2° and 4° of the Commercial Code, prohibiting anti-competitive agreements.</w:t>
      </w:r>
    </w:p>
    <w:p>
      <w:r>
        <w:t>The charges will be notified to the following companies according to the periods below:</w:t>
      </w:r>
    </w:p>
    <w:p>
      <w:r>
        <w:t>Brenntag</w:t>
        <w:br/>
        <w:t>- from January 2000 to March 2007: the company Brenntag;</w:t>
        <w:br/>
        <w:t>- from January 2000 to October 2002: the companies Brenntag France Holding SAS, DB Mobility Logistics AG, and E.ON AG;</w:t>
        <w:br/>
        <w:t>- from November 2002 to January 2004: the companies Brenntag France Holding SAS, DB Mobility Logistics AG, and Deutsche Bahn AG;</w:t>
        <w:br/>
        <w:t>- from February 2004 to August 2006: Brenntag France Holding SAS; Brenntag Foreign Holding GmbH; Brenntag Beteiligungs GmbH; Brenntag Holding GmbH;</w:t>
        <w:br/>
        <w:t>- from September 2006: Brenntag France Holding SAS, Brachem France Holding SAS, Brenntag Holding GmbH.</w:t>
      </w:r>
    </w:p>
    <w:p>
      <w:r>
        <w:t>Chemco</w:t>
        <w:br/>
        <w:t>- from January 2000 to March 2007: the company Chemco France SARL.”</w:t>
      </w:r>
    </w:p>
    <w:p>
      <w:r>
        <w:t>F. IMPLEMENTATION OF III OF ARTICLE L. 464-2 OF THE COMMERCIAL CODE</w:t>
      </w:r>
    </w:p>
    <w:p>
      <w:r>
        <w:t>503. Solvadis, Solvadis GmbH, Solvadis Holding SARL, GEA Group Aktiengesellschaft, Univar, Univar France SNC, Univar France BV, Univar Europe Holdings BV, Univar NV, and Caldic Est requested the benefit of the provisions of III of Article L. 464-2 of the Commercial Code, according to which: “When an organization or a company does not contest the reality of the charges notified to it, the general rapporteur may propose to the Competition Authority, which hears the parties and the Government Commissioner without prior establishment of a report, to impose the monetary sanction provided for in I taking into account the absence of contestation. In this case, the maximum amount of the sanction incurred is reduced by half. When the company or organization also commits to modifying its behavior for the future, the general rapporteur may propose to the Competition Authority to take this into account as well in determining the amount of the sanction.”</w:t>
      </w:r>
    </w:p>
    <w:p>
      <w:r>
        <w:t>504. The implementation of these provisions led to the establishment of minutes signed on July 4, 2012, for Solvadis, Solvadis GmbH, and Solvadis Holding SARL, on July 5, 2012, for Caldic Est, on August 1, 2012, for Univar, Univar France SNC, Univar France BV, Univar Europe Holdings BV, and Univar NV, and on September 17, 2012, for GEA Group Aktiengesellschaft.</w:t>
      </w:r>
    </w:p>
    <w:p>
      <w:r>
        <w:t>505. By the minutes of July 4, 2012, Solvadis, Solvadis GmbH, and Solvadis Holding SARL declared that they did not contest the notified charge. To take into account the non-contestation of the charge, the deputy general rapporteur proposed that the monetary sanction incurred, if applicable, by these companies be reduced by 10% of the amount that would normally have been imposed on them.</w:t>
      </w:r>
    </w:p>
    <w:p>
      <w:r>
        <w:t>506. By the minutes of July 5, 2012, Caldic Est declared that it did not contest the notified charge, on the one hand, and proposed commitments, on the other hand. To take into account the non-contestation of the charges and the proposed commitments, which were considered substantial, credible, and verifiable, the deputy general rapporteur proposed that the monetary sanction incurred, if applicable, by Caldic Est be reduced by a proportion ranging from 10 to 15% of the amount that would normally have been imposed on it.</w:t>
      </w:r>
    </w:p>
    <w:p>
      <w:r>
        <w:t>507. By the minutes of August 1, 2012, Univar, Univar France SNC, Univar France BV, Univar Europe Holdings BV, and Univar NV declared that they did not contest the notified charge, on the one hand, and proposed commitments, on the other hand. To take into account the non-contestation of the charges and the proposed commitments, which were considered substantial, credible, and verifiable, the deputy general rapporteur proposed that the monetary sanction incurred, if applicable, by Univar, Univar France SNC, Univar France BV, Univar Europe Holdings BV, and Univar NV be reduced by a proportion ranging from 10 to 15% of the amount that would normally have been imposed on them.</w:t>
      </w:r>
    </w:p>
    <w:p>
      <w:r>
        <w:t>508. By the minutes of September 17, 2012, GEA Group Aktiengesellschaft declared that it did not contest the notified charge, on the one hand, and proposed commitments, on the other hand. To take into account the non-contestation of the charges and the proposed commitments, which were considered substantial, credible, and verifiable, the deputy general rapporteur proposed that the monetary sanction incurred, if applicable, by GEA Group Aktiengesellschaft be reduced by a proportion ranging from 10 to 15% of the amount that would normally have been imposed on it.</w:t>
      </w:r>
    </w:p>
    <w:p>
      <w:r>
        <w:rPr>
          <w:b/>
        </w:rPr>
        <w:t>[Pages 94–96]</w:t>
      </w:r>
    </w:p>
    <w:p>
      <w:r>
        <w:t xml:space="preserve">II. Discussion  </w:t>
        <w:br/>
        <w:t xml:space="preserve">509. The following will be addressed successively:  </w:t>
        <w:br/>
        <w:t xml:space="preserve">- the applicability of Union competition rules;  </w:t>
        <w:br/>
        <w:t xml:space="preserve">- the regularity of the procedure;  </w:t>
        <w:br/>
        <w:t xml:space="preserve">- the sector in question;  </w:t>
        <w:br/>
        <w:t xml:space="preserve">- the notified grievances;  </w:t>
        <w:br/>
        <w:t xml:space="preserve">- the attribution of the practices in question;  </w:t>
        <w:br/>
        <w:t>- the sanctions.</w:t>
      </w:r>
    </w:p>
    <w:p>
      <w:r>
        <w:t xml:space="preserve">A. ON THE APPLICABILITY OF UNION COMPETITION RULES  </w:t>
        <w:br/>
        <w:t xml:space="preserve">1. THE APPLICABLE PRINCIPLES  </w:t>
        <w:br/>
        <w:t xml:space="preserve">510. The first grievance was notified on the basis of Articles L. 420-1 of the Commercial Code and 101 of the TFEU, and the second solely on the basis of Article L. 420-1 of the Commercial Code.  </w:t>
        <w:br/>
        <w:t xml:space="preserve">511. Article 101, paragraph 1, of the TFEU prohibits, in particular, agreements that have as their object or effect the restriction of competition and that are likely to affect trade between Member States.  </w:t>
        <w:br/>
        <w:t xml:space="preserve">512. The question of the effect on trade between Member States is a distinct and preliminary question to that of the analysis of the restriction of competition. It is independent of the definition of the relevant geographic markets, as trade between Member States can be affected even in cases where the market is national or regional. It is the agreement in question or the general strategy examined that must be likely to affect trade between Member States, regardless of whether the different parts of the agreement are likely to do so individually.  </w:t>
        <w:br/>
        <w:t xml:space="preserve">513. Based on the consistent case law of the Union, and in light of the European Commission's communication on guidelines relating to the notion of affecting trade as set out in Articles 81 and 82 of the Treaty [now Articles 101 and 102 of the TFEU] (OJ C 101, April 27, 2004, p. 81), the Authority consistently considers that three elements must be met for practices to be likely to significantly affect trade between Member States: the existence of exchanges between Member States concerning the products or services in question, the existence of practices likely to affect those exchanges, and the sensitive nature of this possible effect.  </w:t>
        <w:br/>
        <w:t xml:space="preserve">514. Regarding the first element, in cases of agreements extending to the entirety or vast majority of the territory of a Member State, the Court of Justice of the European Union has ruled "that there is, at the very least, a strong presumption that a restrictive practice applied throughout the territory of a Member State is likely to contribute to market partitioning and affect intra-Community trade. This presumption can only be rebutted if the analysis of the characteristics of the agreement and the economic context in which it is situated demonstrates otherwise" (Judgment of December 14, 2006, Raiffeisen Zentralbank Österreich e.a./Commission, T-259/02 to T-264/02 and T-271/02, Rec. p. II-5169, paragraph 181). On appeal, the Court of Justice clarified in a judgment of September 24, 2009, Erste Group Bank/Commission, that "the fact that an agreement only concerns the marketing of products in a single Member State is not sufficient to exclude that trade between Member States may be affected. Indeed, an agreement extending to the entire territory of a Member State has, by its very nature, the effect of consolidating national partitioning, thereby hindering the economic interpenetration intended by the EC Treaty" (C-125/07 P, C-133/07 P, C-135/07 P and C-137/07 P, Rec. p. I-8681, paragraph 38).  </w:t>
        <w:br/>
        <w:t xml:space="preserve">515. Regarding the second element, to be likely to affect trade between Member States, a decision, agreement, or concerted practice "must, based on a factual and legal element, allow for a sufficient degree of probability that they may exert a direct or indirect, actual or potential influence on the flow of trade between Member States" (Judgments of the Court of Justice of January 21, 1999, Bagnasco e.a., C-215/96 P and C-216/96, Rec. p I-135, paragraph 47, and of October 25, 2001, Ambulanz Glöckner, C-475-99, Rec. 2001 p. I-8089, paragraph 48). The Court of Cassation has also recalled that the terms "likely to affect" as stated in Articles 101 and 102 of the TFEU "imply that the agreement or abusive practice in question allows, based on a set of objective legal or factual elements, to envisage with a sufficient degree of probability that it may exert a direct or indirect, actual or potential influence on the flow of trade between Member States, without requiring the establishment of an actual effect on intra-Community trade" (Judgment of January 31, 2012, France Télécom, No. 10-25.772, 10-25.775 and 10-25.882, p. 6).  </w:t>
        <w:br/>
        <w:t xml:space="preserve">516. Finally, concerning the third element, the Court of Cassation ruled in the aforementioned France Télécom judgment that the demonstration of the sensitive nature of this possible effect, in cases where the practices in question are committed only in part of a Member State, "results from a set of criteria, among which the nature of the practices, the nature of the products concerned, and the market position of the companies involved" must be taken into account, "the total sales volume concerned relative to the national volume being only one element among others."  </w:t>
        <w:br/>
        <w:t xml:space="preserve">517. Paragraph 52 of the aforementioned guidelines refers to two cumulative thresholds below which an agreement is presumed, from the perspective of the European Commission, not to significantly affect trade between Member States:  </w:t>
        <w:br/>
        <w:t xml:space="preserve">- the total market share of the parties in the affected Community market does not exceed 5%;  </w:t>
        <w:br/>
        <w:t>- and, in the case of horizontal agreements, the average annual turnover achieved in the Union by the companies involved with the products concerned by the agreement does not exceed 40 million euros.</w:t>
      </w:r>
    </w:p>
    <w:p>
      <w:r>
        <w:t xml:space="preserve">2. ASSESSMENT BY THE AUTHORITY  </w:t>
        <w:br/>
        <w:t xml:space="preserve">a) Regarding grievance No. 1  </w:t>
        <w:br/>
        <w:t xml:space="preserve">518. The practices referred to in grievance No. 1 are clearly likely to significantly affect trade between Member States, for the reasons that will be detailed below.  </w:t>
        <w:br/>
        <w:t xml:space="preserve">519. First, it should be noted that certain distributors of chemical commodities established in other Member States supplied customers located in French territory. Thus, the company Holvoet, based in Belgium, supplied at least the Nord-Pas-de-Calais region. Similarly, in northern France, the companies Brenntag and Univar marketed chemical commodities from Belgium (references 23029 and 24338).  </w:t>
        <w:br/>
        <w:t xml:space="preserve">520. Consequently, there are indeed real and potential flows of trade between Member States concerning the distribution of chemical commodities.  </w:t>
        <w:br/>
        <w:t xml:space="preserve">521. Secondly, the practices in question consisted, on the one hand, of stabilizing the market shares of the participants through customer allocation practices and, on the other hand, of price coordination among these same competitors. They cover, if not the entirety of the national territory, at least a very significant part including several geographical areas, such as the "north," the "west," "Burgundy," and "Rhône-Alpes."  </w:t>
        <w:br/>
        <w:t xml:space="preserve">522. The nature and very objective of these practices, which tend to partition the national market or a significant proportion of it, mean that they are likely to affect exchanges between Member States. In particular, price coordination practices may prevent customers of chemical commodity distributors located in other Member States from benefiting from lower prices within the internal market of the Union. This would be particularly the case for companies consuming chemical commodities located near the border areas of France.  </w:t>
        <w:br/>
        <w:t xml:space="preserve">523. Thirdly, given the territory they concern and the actors they involve, these practices are not only likely to affect exchanges between Member States but also to affect them significantly. They indeed group together the largest players in the chemical commodity distribution sector, which represented over 80% in 2004, and most of whom were backed by European or even global groups.  </w:t>
        <w:br/>
        <w:t xml:space="preserve">524. It follows from the above that the practices referred to in grievance No. 1 are likely to significantly affect trade between Member States and must therefore be analyzed in light of both internal and Union competition rules, which the parties do not contest.  </w:t>
        <w:br/>
        <w:t xml:space="preserve">b) Regarding grievance No. 2  </w:t>
        <w:br/>
        <w:t xml:space="preserve">525. The practices referred to in grievance No. 2 consist of a customer allocation practice coupled with price coordination between the companies Brenntag and Chemco regarding deliveries of methanol by full truckload to the customer GKN.  </w:t>
        <w:br/>
        <w:t xml:space="preserve">526. The Authority noted in paragraph 499 of the decision that the deliveries concerned during the period covered by this practice amounted to just under one million euros.  </w:t>
        <w:br/>
        <w:t xml:space="preserve">527. Furthermore, the distribution of chemical commodities in France is approximately 500 million euros, and the sales concerned by the practice represent less than 0.2%.  </w:t>
        <w:br/>
        <w:t xml:space="preserve">528. Finally, no other element in the file establishes that these practices would be likely to significantly affect exchanges between Member States.  </w:t>
        <w:br/>
        <w:t>529. In these circumstances, the practices referred to in grievance No. 2 will be examined solely in light of the provisions of Article L. 420-1 of the Commercial Code.</w:t>
      </w:r>
    </w:p>
    <w:p>
      <w:r>
        <w:rPr>
          <w:b/>
        </w:rPr>
        <w:t>[Pages 97–99]</w:t>
      </w:r>
    </w:p>
    <w:p>
      <w:r>
        <w:t xml:space="preserve">B. ON THE REGULARITY OF THE PROCEDURE  </w:t>
        <w:br/>
        <w:t xml:space="preserve">1. ON THE ALLEGED NULLITY OF THE SOLVADIS LENIENCY MINUTES DUE TO LACK OF MANDATE  </w:t>
        <w:br/>
        <w:t xml:space="preserve">530. Brenntag SA and its parent companies argue that the leniency minutes of Solvadis dated September 20, 2006, are null because the leniency request was submitted by a counsel who did not have a mandate to represent it.  </w:t>
        <w:br/>
        <w:t xml:space="preserve">531. They indeed argue that the ad litem mandate granted to a counsel originates either from Solvadis GmbH, which is not the leniency applicant, or from Mr. Y..., who did not have any authority to represent or bind Solvadis. Brenntag SA and its parent companies believe that Solvadis should have justified, at the latest when the Council ruled on its leniency status on February 7, 2007, the existence of a special and temporary power granted to Mr. Y... as of September 20, 2006, or a mandate given to the lawyer.  </w:t>
        <w:br/>
        <w:t xml:space="preserve">532. However, Decree No. 2002-689 of April 30, 2002, setting the conditions for the application of Book IV of the Commercial Code relating to price freedom and competition, and in particular its Article 44 (JORF of May 3, 2002, p. 8055), on the one hand, and the procedural notice of April 11, 2006, on the other hand, do not subject the representation of the company or organization making a leniency request to any formalism.  </w:t>
        <w:br/>
        <w:t xml:space="preserve">533. In this case, the leniency request was presented by a representative of Solvadis. Indeed, the counsel who presented it was mandated by Mr. Udo 32..., president of Solvadis GmbH, a company that holds all the capital of Solvadis, as he declared on October 18, 2012. These companies form a single entity, a subject referred to both by the aforementioned Decree No. 2002-689 and by the procedural notice of April 11, 2006.  </w:t>
        <w:br/>
        <w:t xml:space="preserve">534. In any case, this counsel and Mr. Y... were mandated by Mr. Christian 33..., managing director of Solvadis, by power of attorney dated October 6, 2006, to submit all documents and provide any useful explanations within the framework of the ongoing procedure. This mandate, given before the Council issued its leniency opinion, regularized the procedure, if necessary.  </w:t>
        <w:br/>
        <w:t xml:space="preserve">2. ON THE ALLEGED INELIGIBILITY OF SOLVADIS FOR IMMUNITY DUE TO ITS REVELATION OF ITS APPROACH TO THIRD PARTIES  </w:t>
        <w:br/>
        <w:t xml:space="preserve">535. Brenntag SA and its parent companies, as well as Deutsche Bahn AG and DB Mobility Logistics, invoke the ineligibility of Solvadis for immunity due to its revelation of its approach to third parties, resulting in the nullity of its leniency request.  </w:t>
        <w:br/>
        <w:t xml:space="preserve">536. As indicated in the procedural notice of April 11, 2006, relating to the French leniency program applicable in this case, “[o]utside the previously stated eligibility conditions, the following cumulative conditions must be met in all cases to qualify for a total or partial exemption from financial penalties: (...) the company must not have informed other companies that may be implicated in the denounced practices of its request” (point 18).  </w:t>
        <w:br/>
        <w:t xml:space="preserve">537. In this regard, it appears from the documents provided that no revelation in the sense of the aforementioned procedural notice can be established. Indeed, these documents only refer to statements by Solvadis regarding a file or possible complaint projects on its part and do not indicate that Solvadis explicitly mentioned a leniency approach to interlocutors other than third parties to the procedure.  </w:t>
        <w:br/>
        <w:t xml:space="preserve">3. ON THE ALLEGED NULLITY OF THE SOLVADIS LENIENCY OPINION DUE TO A VIOLATION OF THE PRINCIPLE OF FAIRNESS IN THE ADMINISTRATION OF EVIDENCE  </w:t>
        <w:br/>
        <w:t xml:space="preserve">538. Brenntag SA and its parent companies report a breach of the principle of fairness in the administration of evidence as well as the principle of the right to respect for private life. These companies argue, firstly, that 15 documents and their annexes violate the principle of fairness in the administration of evidence, the right to respect for private life, and would be intellectual forgeries or false attestations.  </w:t>
        <w:br/>
        <w:t xml:space="preserve">539. They argue, secondly, that the documents transmitted by Mr. Y... on December 22, 2006, and January 24, 2007, were submitted after the deadline by which Brenntag SA and its parent companies were to have completed their leniency request of October 26, 2006, namely December 29, 2006, and could not be included among the elements allowing Solvadis to obtain immunity.  </w:t>
        <w:br/>
        <w:t xml:space="preserve">540. According to Brenntag SA and its parent companies, since they benefited from a two-month period to submit documents in support of their leniency request and since Solvadis submitted its leniency request prior to theirs, the date by which Solvadis was to have submitted the documents to the Authority was, under penalty of violating the principle of equal treatment, necessarily prior to December 29, 2006.  </w:t>
        <w:br/>
        <w:t xml:space="preserve">541. Consequently, the leniency opinion of Solvadis dated February 7, 2007, would be irreparably flawed due to the inclusion of documents, accepted as ancillary evidence, as well as testimonies collected by the applicant, or produced for Solvadis at least after the end of the marker deadline granted to Brenntag SA and its parent companies, and would therefore be null and void.  </w:t>
        <w:br/>
        <w:t xml:space="preserve">542. The allegations of these companies merely consist, under the guise of a breach of the principle of fairness in the administration of evidence and the right to respect for private life, in disputing the evidentiary value of the documents submitted by Solvadis. Furthermore, the reporters have never used information pertaining to the private life of the cited individuals.  </w:t>
        <w:br/>
        <w:t xml:space="preserve">543. Regarding the marker deadline granted to Brenntag SA and its parent companies, it should be recalled that the leniency opinion issued to Solvadis does not refer only to the material elements communicated on December 22, 2006, and January 24, 2007, which in any case do not constitute the bulk of the information transmitted between September 20, 2006, and October 20 of that same year. Furthermore, point 27 of the procedural notice of April 11, 2006, on the French leniency program, specifying that “[t]he company transmits to the French competition authorities the information and evidence relating to the alleged agreement necessary for the examination of its leniency request by the Competition Council,” does not prevent the communication of documents after the marker deadline, but only before the leniency opinion. Therefore, the documents submitted by Solvadis on December 22, 2006, and January 24, 2007, were collected regularly.  </w:t>
        <w:br/>
        <w:t xml:space="preserve">4. ON THE IRREGULARITIES THAT MAY HAVE OCCURRED DURING THE INSTRUCTION PROCEDURE  </w:t>
        <w:br/>
        <w:t xml:space="preserve">a) On the alleged irregularity of the procedure due to the receipt by the reporters of certain statements  </w:t>
        <w:br/>
        <w:t xml:space="preserve">544. Brenntag SA and its parent companies argue that the receipt by the instruction services within the framework of a leniency procedure of statements unrelated to the demonstration of an anticompetitive practice has caused irreparable harm to their rights of defense, resulting in the nullity of the instruction procedure.  </w:t>
        <w:br/>
        <w:t xml:space="preserve">545. In support of this claim, reference is made to 22 writings allegedly “defamatory and false” regarding a lawyer of Brenntag SA and its parent companies, admitted and referenced in the case file, and included in the statement of objections and then in the report. These procedural acts would have had the manifest and announced purpose, by their violence, of causing this lawyer to renounce his intervention in the case and, at the very least, to his free and independent assistance.  </w:t>
        <w:br/>
        <w:t xml:space="preserve">546. However, in accordance with the provisions of IV of Article L. 464-4 of the Commercial Code relating to the leniency procedure, a leniency applicant “provides information that the Authority did not previously possess.” The procedural notice of April 11, 2006, relating to the French leniency program specifies that “[t]he company transmits to the French competition authorities the information and evidence relating to the alleged agreement necessary for the examination of its leniency request” (point 27).  </w:t>
        <w:br/>
        <w:t xml:space="preserve">547. The material elements submitted to the reporters by the leniency applicant in the context of the instruction of its request are provided under its full responsibility. The minutes, drafted in accordance with the provisions of Article L. 450-2 of the Commercial Code, which lists the documents submitted and which is signed by the reporter, only attest to the fact that the company holding the documents has submitted them to the reporter. The latter has no authority to exclude any document submitted by the company or to declare them null and void.  </w:t>
        <w:br/>
        <w:t xml:space="preserve">548. In this case, the documents submitted contain both information directly relevant to the ongoing procedure and other inseparable information concerning a lawyer. Moreover, the statements denounced were never used in the context of the procedure. It therefore appears that the reporters followed the procedural rules applicable to them. The accusation made in this regard constitutes a mere allegation devoid of any justification.  </w:t>
        <w:br/>
        <w:t xml:space="preserve">b) On the alleged irregularity of the procedure due to the violation of the principles of fairness, the rights of defense, and the fair trial  </w:t>
        <w:br/>
        <w:t xml:space="preserve">549. Deutsche Bahn AG and DB Mobility Logistics argue that the procedure is tainted by various irregularities committed in violation of the principles of fairness, the rights of defense, and the fair trial.  </w:t>
        <w:br/>
        <w:t>550. They invoke, firstly, the fact that evidence was collected irregularly, in violation of the principle of fairness. Indeed, Mr. Y... allegedly submitted documents obtained unfairly by exploiting personal relationships established within Brenntag SA and by encouraging executives of this company to violate their confidentiality obligation.</w:t>
      </w:r>
    </w:p>
    <w:p>
      <w:r>
        <w:rPr>
          <w:b/>
        </w:rPr>
        <w:t>[Pages 100–102]</w:t>
      </w:r>
    </w:p>
    <w:p>
      <w:r>
        <w:t>alloué à Brenntag SA et à ses sociétés-mères a été suffisant pour leur permettre de présenter leurs arguments de manière détaillée et structurée.</w:t>
      </w:r>
    </w:p>
    <w:p>
      <w:r>
        <w:t>573. Concernant la projection de la présentation, il convient de rappeler que les services d’instruction ont veillé à ce que les parties aient accès à l’ensemble des éléments présentés, et que la présentation projetée n’a pas introduit d’éléments nouveaux qui n’auraient pas déjà été portés à la connaissance des parties.</w:t>
      </w:r>
    </w:p>
    <w:p>
      <w:r>
        <w:t>574. En conséquence, les allégations de Brenntag SA et de ses sociétés-mères relatives à une atteinte à leurs droits de la défense et au principe du contradictoire ne peuvent être retenues.</w:t>
      </w:r>
    </w:p>
    <w:p>
      <w:r>
        <w:t>575. Pour toutes ces raisons, la Cour conclut que les arguments soulevés par Brenntag SA et ses sociétés-mères ne sont pas fondés et que la procédure a été conduite dans le respect des droits de la défense et des principes du contradictoire.</w:t>
      </w:r>
    </w:p>
    <w:p>
      <w:r>
        <w:rPr>
          <w:b/>
        </w:rPr>
        <w:t>[Pages 103–105]</w:t>
      </w:r>
    </w:p>
    <w:p>
      <w:r>
        <w:t xml:space="preserve">granted to Brenntag SA and its parent companies was the longest of the session, and the interested parties freely decided to devote most of it to a few questions, to the detriment of all other topics they could have addressed within this timeframe.  </w:t>
        <w:br/>
        <w:t xml:space="preserve">573. Furthermore, it should be noted that through their lengthy note in deliberation - 17 pages - Brenntag SA and its parent companies had the opportunity to revisit all the points raised during the session, particularly those which they considered to be new.  </w:t>
        <w:br/>
        <w:t xml:space="preserve">C. ON THE SECTOR IN QUESTION  </w:t>
        <w:br/>
        <w:t xml:space="preserve">1. THE APPLICABLE PRINCIPLES  </w:t>
        <w:br/>
        <w:t xml:space="preserve">574. It follows from consistent case law of the Union that the obligation to delineate the market in question in a decision adopted under Article 101 TFEU is imposed on competition authorities only when, without such delineation, it is not possible to determine whether the agreement, the decision of business association, or the concerted practice in question has as its object or effect the prevention, restriction, or distortion of competition within the common market (Judgment of the Court of September 12, 2007, William Prym/Commission, T-30/05, Rec. p. II-107, paragraph 86, and the cited case law).  </w:t>
        <w:br/>
        <w:t xml:space="preserve">575. Similarly, under domestic law, when the practices in question are examined under the prohibition of agreements, as is the case here, it is not necessary to define the market precisely as long as the sector has been sufficiently identified to qualify the observed practices and allow them to be attributed to the operators who implemented them (Decision No. 05-D-27 of June 15, 2005, regarding practices identified in the white tuna sector, paragraph 28, and No. 12-D-09 of March 13, 2012, regarding practices implemented in the animal feed sector, paragraph 406).  </w:t>
        <w:br/>
        <w:t xml:space="preserve">2. ASSESSMENT IN THIS CASE  </w:t>
        <w:br/>
        <w:t xml:space="preserve">a) On grievance No. 1  </w:t>
        <w:br/>
        <w:t xml:space="preserve">On the activity in question  </w:t>
        <w:br/>
        <w:t xml:space="preserve">576. First, it is necessary to distinguish between chemical commodities, chemical specialties, and fine chemicals, each constituting a category of chemical products, as has already been done several times (Judgment of the Paris Court of Appeal of March 13, 2007, Gaches Chimie, RG No. 2006/08337, p. 2; see, in the same sense, European Commission decisions of January 16, 2001, Royal Vopak/Ellis&amp;Everard, COMP/M.2244, paragraph 11, and July 16, 2010, CVC/Univar Europe/Eurochem, COMP/M.5814, paragraph 10).  </w:t>
        <w:br/>
        <w:t xml:space="preserve">577. According to the definition adopted by the European Commission, chemical commodities mainly concern basic raw materials with fixed compositions such as alcohols, soda, acids, bleach, or petroleum solvents (Commission Decision of July 16, 2010, CVC/Univar Europe/Eurochem, cited above, paragraph 9). Mainly derived from mineral chemistry and petrochemistry, they are used by industry and services. They are easy to handle and do not require specific knowledge about the industry of their customers for resale by distributors.  </w:t>
        <w:br/>
        <w:t xml:space="preserve">578. Regarding the marketing of chemical commodities, it was noted in paragraph 26 above that, for the most part, the sale of these products is carried out directly by producers to industrial end-users and, for the remainder, by a distributor who delivers to industrial clients in small quantities in the form of a complete range, or by a "trader."  </w:t>
        <w:br/>
        <w:t xml:space="preserve">579. It was also noted in paragraphs 30 and following above that the commercial transaction occurs between the distributor and the client and that, in this context, the distributor can use two modes of delivery, delivery from the depot or direct delivery, also called "straight."  </w:t>
        <w:br/>
        <w:t xml:space="preserve">580. Delivery from the depot is subject to significant logistical and regulatory constraints requiring heavy investments by distributors and constituting strong barriers to entry. It is accompanied by services such as storage, mixing, dilution, packaging, delivery, or transport.  </w:t>
        <w:br/>
        <w:t xml:space="preserve">581. In accordance with the principles recalled in paragraphs 574 and following above, it is not necessary to further specify the definition of the market in question, as retaining the distribution of chemical commodities through depots allows for the identification, qualification, and attribution of the practices targeted by grievance No. 1, which occurred in this only sector.  </w:t>
        <w:br/>
        <w:t xml:space="preserve">On the geographical dimension  </w:t>
        <w:br/>
        <w:t xml:space="preserve">582. While the Authority has noted above that the practices in question were deployed at the level of infranational geographical areas based on the location of the depots of the various actors in the agreement, this deployment can be explained by historical considerations (the establishment of depots originally belonging to SMEs/SMIs, which were then gradually integrated into multiregional or national structures), technical (regulatory frameworks limiting the proliferation of storage depots for safety and environmental reasons), and economic (transport costs, proximity service).  </w:t>
        <w:br/>
        <w:t xml:space="preserve">583. This deployment should also be put into perspective in light of the various common characteristics of all the practices in question, as recalled in paragraphs 389 to 475.  </w:t>
        <w:br/>
        <w:t xml:space="preserve">584. Finally, regardless of their common characteristics, these practices concerned a set of geographical areas of French territory, at the very least the "north," the "west," and a large area extending from "Burgundy" to the "Rhône-Alpes" region. The leniency applicants also reported practices in other geographical areas, notably eastern France, although these could not be established. Ultimately, it seems that only Île-de-France and the southwest escaped the influence of the concertation. Consequently, a very large part of French territory is covered by the horizontal agreement.  </w:t>
        <w:br/>
        <w:t xml:space="preserve">585. In light of these elements, the market delineated by the practices can be defined in this case as that of the distribution of chemical commodities in France through depots.  </w:t>
        <w:br/>
        <w:t xml:space="preserve">b) On grievance No. 2  </w:t>
        <w:br/>
        <w:t xml:space="preserve">586. The practice in question concerned the deliveries of methanol by full truck to the client GKN, located in the "West" region.  </w:t>
        <w:br/>
        <w:t xml:space="preserve">587. In accordance with the principles recalled in paragraphs 574 and following above, it is not necessary to further specify the definition of the market for services in question, as retaining a market for the bulk distribution or "trading" of methanol to client GKN in the West region allows for the identification, qualification, and attribution of the practices targeted by grievance No. 2, which occurred in this only market.  </w:t>
        <w:br/>
        <w:t xml:space="preserve">D. ON THE MERITS OF THE GRIEVANCES  </w:t>
        <w:br/>
        <w:t xml:space="preserve">588. The following will be addressed successively:  </w:t>
        <w:br/>
        <w:t xml:space="preserve">- the consequences of the implementation of the procedure for not contesting the grievances;  </w:t>
        <w:br/>
        <w:t xml:space="preserve">- grievance No. 1;  </w:t>
        <w:br/>
        <w:t xml:space="preserve">- grievance No. 2.  </w:t>
        <w:br/>
        <w:t xml:space="preserve">1. ON THE CONSEQUENCES OF THE IMPLEMENTATION OF THE PROCEDURE FOR NOT CONTESTING THE GRIEVANCES  </w:t>
        <w:br/>
        <w:t xml:space="preserve">a) Reminder of the principles  </w:t>
        <w:br/>
        <w:t xml:space="preserve">589. The organization or company that chooses to seek the benefit of the implementation of III of Article L. 464-2 of the Commercial Code must comply with the conditions imposed in this regard, by not contesting the reality of the grievances that have been notified to it.  </w:t>
        <w:br/>
        <w:t xml:space="preserve">590. The interested party must thus renounce contesting not only the reality of all the practices targeted by the notification of grievances but also the qualification that has been given to them in light of the provisions of Union law and the Commercial Code, as well as its responsibility in the implementation of these practices (see, in this sense, Judgment of the Paris Court of Appeal of March 29, 2012, Lacroix Signalisation e.a., No. 2011/01228, p. 23). This renunciation must, on all these points, be clear, complete, and unambiguous (Decisions No. 04-D-42 of August 4, 2004, regarding practices implemented in the context of the restoration of the spire of the cathedral of Tréguier, paragraph 15, No. 06-D-09 of April 11, 2006, regarding practices implemented in the door manufacturing sector, paragraph 303; see also, in this sense, Decisions No. 10-D-39 of December 22, 2010, regarding practices implemented in the vertical road signage sector, paragraphs 226, 228, and 425, and No. 11-D-07 of February 24, 2011, regarding practices implemented in the sector of painting works on metal infrastructures, paragraph 113).  </w:t>
        <w:br/>
        <w:t>591. Such a renunciation to contest the grievances is sufficient for the Authority to consider that all the infractions in question are established with respect to the parties that have made this procedural choice (see, in this sense, Judgment of the Paris Court of Appeal of January 26, 2010, Adecco France e.a., No. 2009/03532, p. 10, and on appeal Judgment of the Court of Cassation of March 29, 2011, Manpower France e.a., No. 10-12.913; see also Decisions No. 04-D-42, cited above, paragraph 12, and No. 11-D-07, cited above, paragraph 113).</w:t>
      </w:r>
    </w:p>
    <w:p>
      <w:r>
        <w:rPr>
          <w:b/>
        </w:rPr>
        <w:t>[Pages 106–108]</w:t>
      </w:r>
    </w:p>
    <w:p>
      <w:r>
        <w:t xml:space="preserve">b) Application in this case  </w:t>
        <w:br/>
        <w:t xml:space="preserve">592. In this case, the complaint No. 1 recalled in paragraph 501 above and relating to the practices described in paragraphs 70 to 475 above has not been contested by the companies Solvadis, Solvadis GmbH, Solvadis Holding SARL, GEA Group Aktiengesellschaft, Univar SAS, Univar France SNC, Univar France BV, Univar Europe Holdings BV, Univar NV, and Caldic Est. It is therefore established against them. It is only for the sake of clarity that the Authority will recall its content below.  </w:t>
        <w:br/>
        <w:t xml:space="preserve">593. However, it remains necessary to demonstrate the individual participation in this infringement of each of the parties that did not make this procedural choice (judgment of the Court of Cassation, Manpower France e.a., cited above, p. 5).  </w:t>
        <w:br/>
        <w:t xml:space="preserve">594. This concerns, in this case, Brenntag SA, Brenntag France Holding SAS, DB Mobility Logistics AG, E.ON AG, Deutsche Bahn AG, Brenntag Foreign Holding GmbH, Brenntag Beteiligungs GmbH, and Brenntag Holding GmbH.  </w:t>
        <w:br/>
        <w:t xml:space="preserve">595. The complaint No. 2, recalled in paragraph 502 above and relating to the practices described in paragraphs 476 to 500 above, has been contested by Brenntag SA, DB Mobility Logistics AG, E.ON AG, Deutsche Bahn AG, Brenntag France Holding SAS, Brachem France Holding SAS, Brenntag Foreign Holding GmbH, Brenntag Beteiligungs GmbH, Brenntag Holding GmbH, and Chemco.  </w:t>
        <w:br/>
        <w:t xml:space="preserve">2. ON COMPLAINT NO. 1  </w:t>
        <w:br/>
        <w:t xml:space="preserve">a) On the existence of a single, complex, and continuous infringement  </w:t>
        <w:br/>
        <w:t xml:space="preserve">On the nature of the practices  </w:t>
        <w:br/>
        <w:t xml:space="preserve">Recap of the principles  </w:t>
        <w:br/>
        <w:t xml:space="preserve">596. Under Article 101, paragraph 1, of the TFEU, all agreements between companies, all decisions of associations of companies, and all concerted practices that are likely to affect trade between Member States and that have as their object or effect the prevention, restriction, or distortion of competition within the internal market are incompatible with the internal market and prohibited.  </w:t>
        <w:br/>
        <w:t xml:space="preserve">597. Article L. 420-1 of the Commercial Code similarly prohibits concerted actions, agreements, express or tacit arrangements between companies when they have as their object or may have as their effect the prevention, restriction, or distortion of competition in a market.  </w:t>
        <w:br/>
        <w:t xml:space="preserve">598. The notion of agreement within the meaning of Article 101, paragraph 1, of the TFEU refers to "the expression, by the participating companies, of a common intention to behave on the market in a certain manner" (judgments of the Court of Justice of July 8, 1999, Commission/Anic Partecipazioni, C-49/92 P, Rec. p. I-4125, point 130, and of the Tribunal of April 20, 1999, LVM/Commission, T-305/94, T-306/94, T-307/94, T-313/94 to T-316/94, T-318/94, T-325/94, T-328/94, T-329/94 and T-335/94, Rec. p. II-931, point 715).  </w:t>
        <w:br/>
        <w:t xml:space="preserve">599. The notion of concerted practice, for its part, refers to "a form of coordination between companies which, without having been pushed to the realization of a formal agreement, knowingly substitutes practical cooperation between them for the risks of competition (...). The criteria of coordination and cooperation retained by the case law of the Court, far from requiring the development of a genuine 'plan', must be understood in light of the inherent conception of the Treaty provisions relating to competition according to which every economic operator must autonomously determine the policy it intends to follow on the common market. While it is true that this requirement of autonomy does not exclude the right of economic operators to intelligently adapt to the observed or anticipated behavior of their competitors, it does, however, rigorously oppose any direct or indirect contact between such operators, having as their object or effect either to influence the behavior on the market of an actual or potential competitor or to disclose to such a competitor the behavior that one is determined to, or is considering, adopting oneself on the market" (judgment of the Court of Justice of December 16, 1975, Suiker Unie e.a./Commission, 40/73 to 48/73, 50/73, 54/73 to 56/73, 111/73, 113/73 and 114/73, Rec. p. 1663, points 26, 173 and 174). This definition aligns with that given to the notion of concerted action by domestic case law (judgment of the Paris Court of Appeal of June 28, 2012, Deloitte Conseil, No. 2012/04990, p. 7).  </w:t>
        <w:br/>
        <w:t xml:space="preserve">600. When behaviors can be partially qualified as an agreement and partially as a concerted practice, the Union courts admit, in the first instance, that these may be considered as constituting a single and complex infringement (judgment Commission/Anic Partecipazioni cited above, point 114).  </w:t>
        <w:br/>
        <w:t xml:space="preserve">601. This case law, far from creating a new category of infringements, merely notes that an infringement may be constituted by behaviors taking on different forms and responding to different definitions, but all covered by the same provision and all equally prohibited (see judgment Commission/Anic Partecipazioni cited above, points 112, 113 and 133).  </w:t>
        <w:br/>
        <w:t xml:space="preserve">602. It thus consistently specifies that a violation of Article 101, paragraph 1, TFEU may result "not only from a single act but also from a series of acts or from a continuous behavior, even if one or more elements of this series of acts or this continuous behavior could also constitute in themselves and taken in isolation a violation of said provision" (see, most recently, judgment of the Court of Justice of December 6, 2012, Commission/Verhuizingen Coppens, C-441/11 P, not yet published in the Recueil).  </w:t>
        <w:br/>
        <w:t xml:space="preserve">603. The competition authority, called upon to assess and qualify such an infringement, does not have to do so exclusively in light of one or the other of the different forms of illicit behavior envisaged by Article 101 of the TFEU. The Union Tribunal has thus specified that, within the framework of a complex infringement, involving several producers over several years, one cannot require the competition authority to precisely qualify the infringement, for each company and at any given moment, as an agreement or a concerted practice, since, in any event, both of these behaviors are prohibited by Article 101, paragraph 1, of the TFEU (judgment LVM/Commission cited above, point 696).  </w:t>
        <w:br/>
        <w:t xml:space="preserve">604. The qualification of a single and complex infringement must therefore be understood, not as requiring simultaneously and cumulatively proof that each of these behaviors meets the characteristics of an agreement and a concerted practice, but rather as designating a whole that brings together elements of which some may be qualified as an agreement and others as a concerted practice (judgment LVM/Commission cited above, point 698).  </w:t>
        <w:br/>
        <w:t xml:space="preserve">605. It follows, secondly, from the consistent case law of the Union that, in order to consider that a set of given behaviors constitutes a single and complex infringement, it is necessary that these different actions fall within an "overall plan," due to their identical object distorting the play of competition within the internal market. If this is the case, the competition authority is entitled to consider them as a whole and to attribute responsibility to the companies that participated in them (judgments of the Court of Justice of January 7, 2004, Aalborg Portland e.a./Commission, C-204/00 P, C-205/00 P, C-211/00 P, C-213/00 P, C-217/00 P and C-219/00 P, Rec. p. I-123, point 258, and of December 6, 2012, Commission/Verhuizingen Coppens, cited above, point 41).  </w:t>
        <w:br/>
        <w:t xml:space="preserve">606. The existence of such a common objective must be assessed solely in light of the content of the agreements or practices in question, and must not be confused with the subjective intention of the different companies to participate in a single and complex infringement (judgment of the Tribunal of March 3, 2011, Siemens/Commission, T-110/07, Rec. p. II-477, point 246). On the contrary, it follows from the case law that this subjective intention should only be taken into account at the stage of assessing the individual participation of the companies involved in such a single and complex infringement (see below).  </w:t>
        <w:br/>
        <w:t xml:space="preserve">607. In order to support the existence of this "overall plan," the case law traditionally relies on a set of serious, precise, and consistent indicators that may relate, depending on the specific circumstances of each case, to the similarity and complementarity of behaviors, actors, and the chronology of practices.  </w:t>
        <w:br/>
        <w:t xml:space="preserve">608. Once the conditions set out by the case law are met, the existence of a single and complex infringement cannot be effectively contested on the grounds that the different agreements or practices that constitute it differ on certain points. It follows from the very nature of a single and complex infringement that practices that may involve such differences can be apprehended under this same qualification (see, for example, judgments of the Tribunal of July 8, 2008, BPB/Commission, T-53/03, Rec. p. II-1333, points 256 and 258, and of November 30, 2011, Quinn Barlo e.a./Commission, T-208/06, point 137).  </w:t>
        <w:br/>
        <w:t xml:space="preserve">609. When the requirements set out by the case law are met, the existence of a single and complex infringement cannot be contested on the grounds that one or more elements of this series of acts or behaviors could also constitute in themselves, taken in isolation, an infringement of the competition rules (judgment Aalborg Portland e.a./Commission cited above, point 258).  </w:t>
        <w:br/>
        <w:t xml:space="preserve">610. Regarding, thirdly and finally, the proof of the practices prohibited by Article 101 of the TFEU, the Court of Justice recalled that the prohibition of participating in concerted practices and anti-competitive agreements, as well as the sanctions that offenders may incur in this regard being notorious, it is customary for the activities to which these concerted practices or agreements give rise to take place clandestinely, that meetings are held secretly, and that the related documentation is kept to a minimum (judgment Aalborg Portland e.a./Commission cited above, point 55).  </w:t>
        <w:br/>
        <w:t xml:space="preserve">611. Even if the competition authority discovers documents explicitly attesting to the existence of illegitimate contact between operators, such as the minutes of a meeting, these will normally only be fragmentary and scattered, so that it often appears necessary to reconstruct certain elements through deductions (judgment Aalborg Portland e.a./Commission cited above, point 56).  </w:t>
        <w:br/>
        <w:t>612. In most cases, the existence of an infringement of Article 101 of the TFEU must therefore be inferred from a certain number of coincidences and indicators which, considered together, may constitute, in the absence of another coherent explanation, proof of a violation of the competition rules (judgment Aalborg Portland e.a./Commission cited above, point 57).</w:t>
      </w:r>
    </w:p>
    <w:p>
      <w:r>
        <w:rPr>
          <w:b/>
        </w:rPr>
        <w:t>[Pages 109–111]</w:t>
      </w:r>
    </w:p>
    <w:p>
      <w:r>
        <w:t>613. The Court of Cassation and the Court of Appeal of Paris have similarly recognized the evidentiary value of such a bundle of indicators: "obviously, the existence and effectiveness of an agreement (...) are normally not established by formal, dated, and signed documents emanating from the companies to which they are opposed (...) ; proof can only result from various indicators insofar as, after cross-checking, they constitute a set of sufficiently serious, precise, and consistent presumptions" (judgment of the Court of Cassation of December 8, 1992, Établissements Phibor e.a., no. 90-20258; see also judgments of the Court of Appeal of Paris of January 19, 1999, Gerland Routes e.a., and February 25, 2009, Transeuro Desbordes Worldwide Relocations e.a., no. 2008/02003, p. 9, and on appeal, judgment of the Court of Cassation of April 7, 2010, AGS, no. 09-13838).</w:t>
      </w:r>
    </w:p>
    <w:p>
      <w:r>
        <w:t>Arguments of the parties</w:t>
      </w:r>
    </w:p>
    <w:p>
      <w:r>
        <w:t>614. Brenntag SA and its parent companies contested, on the one hand, the standard of proof retained by the investigating services to qualify the practices in question as a single, complex, and continuous infringement and the opposability of this notion, on the other hand.</w:t>
      </w:r>
    </w:p>
    <w:p>
      <w:r>
        <w:t>615. Regarding the standard of proof, Brenntag SA and its parent companies did not contest in their observations on the statement of objections the existence of the agreements in question. However, these companies contested that they could be qualified as a single, complex, and continuous infringement.</w:t>
      </w:r>
    </w:p>
    <w:p>
      <w:r>
        <w:t>616. According to them, three cumulative elements should be met for a single, complex, and continuous infringement to be demonstrated. These elements would be lacking in this case, as no company participated in such an infringement.</w:t>
      </w:r>
    </w:p>
    <w:p>
      <w:r>
        <w:t>617. First, the competition authority should establish the existence of an objective link between the different agreements, understood as a link of identity on the one hand and complementarity on the other. Regarding the objective link of identity, it would require demonstrating the material identity of the agreements understood as a very strong identity between, in particular, the products in question, the individuals who participated in the practices, the companies involved, the dates of commencement and cessation of the practices, as well as the modalities of operation of the practices. As for the objective link of complementarity, it would imply demonstrating that the agreements or practices in question interact with each other or present links of reciprocity or interdependence.</w:t>
      </w:r>
    </w:p>
    <w:p>
      <w:r>
        <w:t>618. These companies point out in this regard that the established agreements do not present sufficient identity. In this context, they argue in particular that the products concerned are not the same across regions, that the modalities of operation of the practices differ by area, that the start and end dates of the practices are different, and that there is no interaction, compensation, or reciprocity between the agreements.</w:t>
      </w:r>
    </w:p>
    <w:p>
      <w:r>
        <w:t>619. Second, a subjective link should be demonstrated between all the agreements or practices in question, understood as the awareness that the concerned companies would have of participating in a global infringement. Brenntag particularly believes that "for a complex and continuous agreement to exist, at least two identical companies must have participated in all the individual agreements and at least two identical companies across all areas must be aware of contributing to the realization of a global plan in all its components" (reference 38872). According to Brenntag, these two companies should thus have manifested an agreement of wills on the overall plan.</w:t>
      </w:r>
    </w:p>
    <w:p>
      <w:r>
        <w:t>620. In this case, Brenntag SA argues that it had, both at the regional and national level, only a partial knowledge of the agreements implemented. Such partial knowledge would be demonstrated by the involvement of only the regional and site directors in the practices, excluding any participation from the general management of Brenntag SA.</w:t>
      </w:r>
    </w:p>
    <w:p>
      <w:r>
        <w:t>621. These elements would be reinforced by the fact that the regional directors were unaware of the existence of the agreements implemented in regions other than their own. The presence of Mr. Jean-Pierre N..., director of the northern region, at the meeting in Reims on June 5, 1998, which initiated the agreement on the "Burgundy zone," would not allow for the conclusion of his knowledge of this agreement. Indeed, the discussions that took place during this meeting would not have concerned the agreement implemented.</w:t>
      </w:r>
    </w:p>
    <w:p>
      <w:r>
        <w:t>622. Furthermore, not having participated in the operation of the agreements, the general management of Brenntag SA would also have had only a partial knowledge of the agreements. While the companies in question do not contest the participation of Mr. Daniel X..., president of Brenntag SA from June 1998 to 2000, at the meeting in Paris in September 1998 that initiated the practices in the "Rhône-Alpes zone," they specify that he left as soon as he realized its anti-competitive purpose.</w:t>
      </w:r>
    </w:p>
    <w:p>
      <w:r>
        <w:t>623. The general management of Brenntag SA would moreover not have even been aware of the existence of all the elements constituting the infringement. Thus, Brenntag believes that Mr. Daniel X... was not informed of the agreements in the "northern zone" and the "Burgundy zone," while in the "western zone," he would have only heard rumors.</w:t>
      </w:r>
    </w:p>
    <w:p>
      <w:r>
        <w:t>624. Moreover, Brenntag SA and its parent companies argue that none of the established agreements was revealed to the management committee. These members also did not have a global knowledge of the practices. Mr. Daniel X..., Mr. Yves 14..., and Mr. Philippe 29... had at most a partial knowledge of the agreements in the "Rhône-Alpes zone" and the "western zone."</w:t>
      </w:r>
    </w:p>
    <w:p>
      <w:r>
        <w:t>625. Finally, the knowledge by the general management of all the agreements cannot be inferred from the leniency request made by Brenntag SA and its parent companies.</w:t>
      </w:r>
    </w:p>
    <w:p>
      <w:r>
        <w:t>626. Third and finally, if a global plan pursuing a common objective were to be established, according to the companies in question, the distortion of competition should not be considered as a sufficient anti-competitive objective to characterize this unique objective.</w:t>
      </w:r>
    </w:p>
    <w:p>
      <w:r>
        <w:t>627. In any case, the qualification of a single, complex, and continuous infringement would be inapplicable to them as it would constitute in fact a new infringement that did not exist at the time of the commission of the agreements, and would thus violate the principles of legality, predictability, and legal certainty.</w:t>
      </w:r>
    </w:p>
    <w:p>
      <w:r>
        <w:t>628. This qualification would also contravene the principle of legitimate expectation in that Brenntag SA and its parent companies denounced local agreements, on the one hand, and the principle in dubio pro reo because the various leniency opinions would not at least clearly retain this qualification demonstrating the Authority's doubt as to its relevance, on the other hand.</w:t>
      </w:r>
    </w:p>
    <w:p>
      <w:r>
        <w:t>629. The principle of personal responsibility in criminal matters would likewise be violated in that both "the awareness, that is to say, the intentionality, of participating in a common objective, in a global plan" and the knowledge of the infringing practices would not be demonstrated.</w:t>
      </w:r>
    </w:p>
    <w:p>
      <w:r>
        <w:t>630. Retaining this qualification would cause them harm in that Brenntag SA and its parent companies would be deprived of total immunity from sanctions on the agreements in the "Burgundy" and "Rhône-Alpes" zones and the benefit of the statute of limitations for the agreement in the "northern zone."</w:t>
      </w:r>
    </w:p>
    <w:p>
      <w:r>
        <w:t>Appreciation of the Authority</w:t>
      </w:r>
    </w:p>
    <w:p>
      <w:r>
        <w:t>631. The following will be addressed successively:</w:t>
        <w:br/>
        <w:t>- the existence of the infringement;</w:t>
        <w:br/>
        <w:t>- the context that presided over the emergence of the "overall plan";</w:t>
        <w:br/>
        <w:t>- the existence of an overall plan aimed at a unique objective;</w:t>
        <w:br/>
        <w:t>- the links of similarity and complementarity between the practices.</w:t>
      </w:r>
    </w:p>
    <w:p>
      <w:r>
        <w:t>♦ On the existence of the infringement</w:t>
      </w:r>
    </w:p>
    <w:p>
      <w:r>
        <w:t>The agreement in the "northern zone"</w:t>
      </w:r>
    </w:p>
    <w:p>
      <w:r>
        <w:t>632. The agreement in the "northern zone" was denounced by Brenntag SA in its note of December 29, 2006 (references 697 to 704, 06/0075 AC).</w:t>
      </w:r>
    </w:p>
    <w:p>
      <w:r>
        <w:t>633. It follows from the findings made in paragraphs 114 and following that Brenntag SA, Districhimie, and RPC Clément agreed from December 17, 1997, the date on which a consultation meeting was held, until September 2001. This agreement concerned caustic soda and, concurrently with the purchase of this product by a specific client, other products such as bleach, marketed in bulk without excluding packaged products. Mr. Gilles O..., director of the Brenntag site in Wattrelos, stated in this regard that "[a]s of 1998 and until mid-2001, Brenntag, Clément (...) and Districhimie (...) met (...) to exchange information on prices and to allocate customers for caustic soda (mineral chemistry product)" (references 11974 and 11975).</w:t>
      </w:r>
    </w:p>
    <w:p>
      <w:r>
        <w:t>634. The participants in the agreement established two modalities of consultation. First, a customer allocation was implemented by adopting a non-aggression pact with the least price-sensitive customers, thus freezing the positions of the participants, on the one hand, and by submitting cover offers to guide the choice of the most price-sensitive customers, on the other hand, supported by price coordination. Second, the passing on of supplier price increases for caustic soda was agreed upon among them. Mr. Jean-Pierre N..., director of Brenntag SA in the "northern zone," confirmed that the practices consisted of "setting floor prices between 1998-99 and 2000-2001, between Brenntag, Districhimie, and Solvadis. These practices were implemented to 'regularize' the market subject to fluctuations in raw material prices and the arrival of a new competitor Hoelvoet" (reference 14652).</w:t>
      </w:r>
    </w:p>
    <w:p>
      <w:r>
        <w:t>635. This agreement was made possible by the organization of meetings and phone calls. Furthermore, as established above, both the customer allocation and the passing on of price increases affected all customers (paragraphs 141 and following).</w:t>
      </w:r>
    </w:p>
    <w:p>
      <w:r>
        <w:t>636. Finally, Brenntag SA took the initiative for the agreement and also actively participated in monitoring the proper application of the decisions made by all participants.</w:t>
      </w:r>
    </w:p>
    <w:p>
      <w:r>
        <w:t>The agreement in the "Rhône-Alpes zone"</w:t>
      </w:r>
    </w:p>
    <w:p>
      <w:r>
        <w:t>637. The agreement in the "Rhône-Alpes zone" was denounced by Brenntag SA in its note of December 29, 2006, and by Univar in a report dated January 15, 2007 (references 573 to 582, 06/0075 AC, and 569 to 579, 06/0092 AC).</w:t>
      </w:r>
    </w:p>
    <w:p>
      <w:r>
        <w:t>638. Based on the findings made in paragraphs 163 and following, the companies Brenntag SA, Lambert-Rivière, Vaissière-Favre, Quarréchim, and then, due to the merger of these last three companies on January 1, 2003, Univar SAS agreed on mineral chemistry products and solvents marketed in bulk and packaged following</w:t>
      </w:r>
    </w:p>
    <w:p>
      <w:r>
        <w:rPr>
          <w:b/>
        </w:rPr>
        <w:t>[Pages 112–114]</w:t>
      </w:r>
    </w:p>
    <w:p>
      <w:r>
        <w:t xml:space="preserve">3 and following, the companies Brenntag SA, Lambert-Rivière, Vaissière-Favre, Quarréchim and then, due to the merger of the last three companies on January 1, 2003, Univar SAS agreed on mineral chemistry products and solvents marketed in bulk and packaged following a meeting in Paris in September 1998. It is undisputed that Mr. Daniel X..., president of Brenntag SA, attended this meeting (reference 575, 06/0075 AC). Although Marce did not participate, it joined the agreement during the year 1998 and was involved until its absorption by Brenntag SA on October 12, 2001. This agreement ceased in June 2005.  </w:t>
        <w:br/>
        <w:t xml:space="preserve">638. The agreement allowed for the establishment of common rates as well as the allocation of clients among the participants. The establishment of common rates concerned the solvents and mineral chemistry products distributed in bulk and packaged to all of their clients. Regarding client allocation and more specifically for solvents, a change in the implementation modalities was noted during the year 2003. Thus, from September 1998 until the year 2003, a system for allocating major clients by rounds was established affecting all clients (paragraphs 187 and following). Subsequently, this system was replaced by a non-aggression pact targeting all clients of the participants. As for mineral chemistry products, a non-aggression pact was implemented among the participants throughout the entire duration of the practice and targeted all of their clients.  </w:t>
        <w:br/>
        <w:t xml:space="preserve">639. The agreement operated through meetings and telephone contacts. A total of 27 meetings were noted between September 1998 and June 2005. The regularity of these meetings was necessitated by the particular volatility of solvent prices. Furthermore, Brenntag SA and Univar SAS respectively had a telephone line subscribed in the name of one of their employees between 2002 and 2005 to communicate with their competitors while ensuring the confidentiality of their exchanges. Mr. Pierre A..., sales director in Lyon since 1998 for Brenntag SA, confirmed that "[t]here was a dedicated mobile phone for consultation. The subscription was in the name of Ms. Isabelle 13..., assistant to Mr. Olivier Z.... Mr. Olivier Z... and I used this phone to contact our competitors as part of the consultation. The purpose of this subscription was to prevent it from appearing on the statements of Brenntag Rhône-Alpes" (reference 33116).  </w:t>
        <w:br/>
        <w:t xml:space="preserve">640. Brenntag SA also verified, in collaboration with Univar SAS, the proper execution of the decisions made.  </w:t>
        <w:br/>
        <w:t xml:space="preserve">The agreement in the "Burgundy zone"  </w:t>
        <w:br/>
        <w:t xml:space="preserve">641. Brenntag SA, by letter dated December 5, 2006, denounced the agreement in the "Burgundy zone" (references 261 to 269, 06/0075 AC).  </w:t>
        <w:br/>
        <w:t xml:space="preserve">642. In its response memorandum on the report, Brenntag argued that the meeting in Reims on June 5, 1998, only concerned the consultation denounced regarding technical and handling fees and did not relate to the client allocation agreement in the Burgundy zone (reference 45660). Brenntag maintained this assertion in the hearing.  </w:t>
        <w:br/>
        <w:t xml:space="preserve">643. However, as previously indicated in paragraph 253, Brenntag explained in its company statement that the agreement in the "Burgundy" zone, consisting notably of client allocations, "would have begun with a meeting organized at the Mercure hotel in Reims, in 1998, presumably on June 5, 1998."  </w:t>
        <w:br/>
        <w:t xml:space="preserve">644. Furthermore, as mentioned above in paragraph 254, one of Brenntag's representatives at the meeting on June 5, 1998, Mr. Paul 15..., clearly explained in a report dated June 13, 2008, that the purpose of this meeting was to "encourage participants to meet 'on the ground' to agree on certain clients" (emphasis added, references 14658 to 14660).  </w:t>
        <w:br/>
        <w:t xml:space="preserve">645. Brenntag outlined the terms of this agreement with Caldic Est and provided 183 documents to corroborate its statements without any material element suggesting the existence of a practice related to technical and handling fees. The examination of some of the documents provided by Brenntag concerning the Burgundy zone and elements collected during the investigation shows that practices of information exchange, client allocation, and coverage offers between Brenntag and Caldic Est indeed took place at least from December 1998, subsequent and correlatively to the meeting of June 5, 1998 (reference 415, 06/0075 AC).  </w:t>
        <w:br/>
        <w:t xml:space="preserve">646. Based on all these factual elements, the notification of grievances established that the meeting of June 5, 1998, which took place in Reims between Brenntag and Caldic Est, constituted the starting point of the client allocation agreement between these two companies in the "Burgundy zone."  </w:t>
        <w:br/>
        <w:t xml:space="preserve">647. In its observations on the notification of grievances, "Brenntag confirms and maintains all the statements it made in the context of its leniency application. In this regard, it does not contest its participation in the agreements implemented in the North (this cartel being already time-barred at the date of its revelation), the West, Burgundy, and Rhône-Alpes, as described by the Notification in Section II. Furthermore, and more generally, Brenntag confirms all of its statements made during the investigation regarding the concerned regional practices, the companies involved, the duration, and the nature of the practices" (page 82, reference 38864).  </w:t>
        <w:br/>
        <w:t xml:space="preserve">648. Brenntag adds: "as noted in the notification, and in accordance with the statements of Mr. 15...: '(...) this meeting had been presented as a presentation meeting, so that we could get to know each other and then agree on the ground' (...) and 'on certain clients'" (page 121 – reference 38903).  </w:t>
        <w:br/>
        <w:t xml:space="preserve">649. Thus, the statements provided by Brenntag at the stage of its leniency application, those of Mr. Paul 15..., and then Brenntag's writings in response to the notification of grievances, having established the purpose of the meeting of June 5, 1998, sufficiently demonstrate that the practice of client allocation between Brenntag and Caldic Est in the "Burgundy zone" was decided during this meeting.  </w:t>
        <w:br/>
        <w:t xml:space="preserve">650. In light of the findings made in paragraphs 253 and following, Brenntag SA and Caldic Est implemented an agreement that began with a meeting held in Reims on June 5, 1998, and ceased during the month of June 2003. Representatives of Brenntag SA for the southern region, including the "Rhône-Alpes zone" and the "Burgundy zone," and for the northern region, such as Mr. Jean-Pierre N..., attended the launch meeting (reference 263, 06/0075 AC). The agreement in question primarily concerned mineral chemistry products and, to a lesser extent, solvents marketed in bulk and packaged.  </w:t>
        <w:br/>
        <w:t xml:space="preserve">651. The agreement consisted, through coverage offers, of a client allocation in the form of sharing clients by volume, by product, or by period. This mode of operation necessarily involved price coordination between the two companies concerned. The agreement targeted all clients as noted in paragraphs 309 and following.  </w:t>
        <w:br/>
        <w:t xml:space="preserve">652. Its operation was facilitated, on the one hand, by the holding of meetings between notably Mr. Jean-Luc 23... and Mr. Paul 15... of Brenntag SA and Mr. Michel 20... of Caldic Est and, on the other hand, by telephone calls from Mr. Jean-Luc 23... to Mr. Michel 20... and Mr. David 21... of Caldic Est.  </w:t>
        <w:br/>
        <w:t xml:space="preserve">653. It should finally be noted that this agreement was initiated by Brenntag SA. The latter company also took charge, in collaboration with Caldic Est, of monitoring the decisions made.  </w:t>
        <w:br/>
        <w:t xml:space="preserve">The two agreements in the "western zone"  </w:t>
        <w:br/>
        <w:t xml:space="preserve">654. Two agreements in the "western zone," reported by Brenntag SA, must be distinguished: one is a trilateral agreement in which Brenntag SA, Langlois-Chimie, and Lambert-Rivière participated; the other is a bilateral agreement, formed by Brenntag SA and Langlois-Chimie (references 684 to 688, 06/0075 AC).  </w:t>
        <w:br/>
        <w:t xml:space="preserve">655. These two agreements, noted in paragraphs 331 and following, began during the regional chemistry day on October 6, 1998, at the initiative of Brenntag SA and ended, for the first one, on December 31, 2002, the date of the merger that led to Univar SAS, and, for the second one, in October 2003. While the trilateral agreement concerned solvents, the bilateral agreement related to mineral chemistry products.  </w:t>
        <w:br/>
        <w:t xml:space="preserve">656. It emerges from the documents in the file that the trilateral agreement aimed to carry out a client allocation concerning only solvents. This agreement affected all clients of the participants (paragraphs 360 and following). The bilateral agreement allowed for client allocation and price coordination. The client allocation concerned mineral chemistry products and targeted all clients (paragraph 359). The price coordination, for its part, allowed for the pass-through of supplier price increases to the resale prices of mineral chemistry products. To be effective, this coordination necessarily involved all clients of the participants.  </w:t>
        <w:br/>
        <w:t xml:space="preserve">657. In order to implement the established agreements, Brenntag SA and Langlois-Chimie met several times, in addition to telephone exchanges. Thus, six meetings were noted between 1998 and 2003. Four additional meetings could not be established with absolute certainty (paragraph 364). Although Lambert-Rivière never participated in these meetings, it is established that it at least had telephone exchanges with Brenntag SA and Langlois-Chimie.  </w:t>
        <w:br/>
        <w:t xml:space="preserve">658. Finally, Brenntag SA indicates, in its note of December 29, 2006, that it monitored the practices. This company also took the initiative for the agreements (paragraph 334).  </w:t>
        <w:br/>
        <w:t xml:space="preserve">659. The existence of all these agreements has not been contested by Solvadis, Univar, and Caldic Est (paragraphs 503). Brenntag SA and its parent companies, although not having entered into a non-contestation of grievances, chose in their observations not to contest them either, except for the date of the launch of practices in the "Burgundy zone."  </w:t>
        <w:br/>
        <w:t xml:space="preserve">♦ On the context that led to the emergence of the "overall plan"  </w:t>
        <w:br/>
        <w:t xml:space="preserve">660. The practices in question emerged in a particular economic and regulatory context, marked by an aggressive pricing policy initiated by Brenntag SA as well as the emergence of new regulatory constraints. These contextual elements led to a deterioration in the profitability of the main players in the sector, thus paving the way for the implementation of a comprehensive plan aimed at stabilizing market shares and restoring margins.  </w:t>
        <w:br/>
        <w:t>661. Firstly, several statements refer to Brenntag SA's strategy consisting, prior to the implementation of the practices in question, in an attempt to evict</w:t>
      </w:r>
    </w:p>
    <w:p>
      <w:r>
        <w:rPr>
          <w:b/>
        </w:rPr>
        <w:t>[Pages 115–117]</w:t>
      </w:r>
    </w:p>
    <w:p>
      <w:r>
        <w:t>way to implement a comprehensive plan aimed at stabilizing market shares and restoring margins.</w:t>
      </w:r>
    </w:p>
    <w:p>
      <w:r>
        <w:t>661. Firstly, several statements indicate Brenntag SA's strategy, prior to the implementation of the practices in question, which consisted of an attempt to eliminate its competitors through an aggressive pricing policy. It was only in the face of the failure of this strategy that Brenntag SA resorted to the agreements in question, in order to restore its margins.</w:t>
      </w:r>
    </w:p>
    <w:p>
      <w:r>
        <w:t>662. In this regard, Mr. Michel E..., sales coordinator for mineral chemistry products at Vaissière-Favre, estimated that "[w]hen Brenntag arrived in the Lyon area, it applied a very, very low pricing policy outside of any profitability consistency. It was, in my opinion, about eradicating competition; we were not able to face such prices" (reference 13313). Subsequently, Mr. Michel E... specified that this pricing policy aimed to "[w]eaken local structures with a view to potential acquisitions in the Rhône-Alpes area. (...) All local companies were forced to enter this price war, but this strategy weakened the various structures. Brenntag also had significantly declining results in the region. In my opinion, Mr. Olivier Z... (...) took the initiative (...) for an agreement (...). Gradually we raised prices to restore margins" (reference 22788). In this sense, Mr. Jacques L..., regional director in Bordeaux and then from 2002 regional director for the western region at Langlois-Chimie, noted that "Brenntag had established itself and had broken the competition by practicing very low prices, then had agreed with the competition to stabilize prices" (reference 13349).</w:t>
      </w:r>
    </w:p>
    <w:p>
      <w:r>
        <w:t>663. Similarly, Mr. Jean-Yves B..., regional director for the center-west since 1999 at Brenntag SA, noted that "[i]n 1997, when I had already contacted Pierre C..., during a review of competitors, I told him (Jean-Marc Y...) about the significant development of Brenntag and that Langlois was struggling. I remember telling him, either we continue the undermining work and sabotage the competitor, or we do the 'policy of the outstretched hand' (by which I meant, 'we agree'). Jean-Marc Y... replied to me: 'nature abhors a vacuum.' I am not sure what that implied, but in my opinion, it could mean that he validated this option of agreement that I proposed" (reference 22505).</w:t>
      </w:r>
    </w:p>
    <w:p>
      <w:r>
        <w:t>664. Secondly, as recalled in the findings made in paragraphs 36 and following, the sector of chemical commodity distribution was subjected, following the adoption of the so-called "Seveso II" directive (Directive 96/82/EC of the Council of December 9, 1996, concerning the control of hazards related to major accidents involving dangerous substances, OJ L 10 of January 14, 1997, p. 13), to more stringent legislative and regulatory requirements concerning, in particular, site safety. Adopted on December 9, 1996, the transposition of this directive was set for February 3, 1999. In this regard, it should be noted that all agreements began between the adoption and the expiration of the transposition deadline of the "Seveso II" directive (paragraph 37).</w:t>
      </w:r>
    </w:p>
    <w:p>
      <w:r>
        <w:t>665. These new legislative and regulatory constraints logically led distributors to make significant investments. For those who were financially unable to cope with this, the search for critical size became imperative. This translated either into mergers or acquisitions by industrial or financial groups, as evidenced by the multiple mergers that took place during the period preceding the practices, notably by the companies involved (references 24313 to 24320). The Bonnave group was thus acquired in 1996 by Brenntag SA.</w:t>
      </w:r>
    </w:p>
    <w:p>
      <w:r>
        <w:t>666. These two contextual elements resulted in a marked deterioration in the profitability of the companies involved. Thus, in its "Introduction - Horizontal Agreements by Geographical Area," Brenntag SA estimated that "[d]ue to the very large dispersion of participants, the importance of capital investments to be made locally to carry out the activity of wholesaler/distributor of chemical products in compliance with both national and community regulations (SEVESO II Directive No. 96/82/EC, Law of July 19, 1976, Decree of September 21, 1977), and deindustrialization, the conditions for operating in this profession have become extremely difficult. It is in this difficult economic and regulatory context for the profession that some wholesale distributors of chemical products (including commodities) in certain areas of France decided to agree according to varying modalities depending on the geographical areas concerned" (references 255 and 256, 06/0075 AC).</w:t>
      </w:r>
    </w:p>
    <w:p>
      <w:r>
        <w:t>667. In the "northern zone," Mr. Bruno D..., chairman of the management board of Quaron, when asked about the reasons that led his company to participate in agreements, replied that "[r]egarding Solvadis/Quaron, which I lead today, its abysmal results have further deteriorated" (reference 13333). Moreover, the agreement began due to the arrival of a new competitor, Holvoet, but also, according to Brenntag SA, "to 'regularize' the market subject to fluctuations in raw material prices" (reference 14652).</w:t>
      </w:r>
    </w:p>
    <w:p>
      <w:r>
        <w:t>668. In the "Rhône-Alpes zone," deteriorated results were also noted. In this regard, Mr. Daniel X..., president of Brenntag SA from June 1998 to 2002, stated that "[i]n 1998, the depot was not doing very well, its efficiency was not very good, the competitive context was tough" (reference 13320). Mr. Olivier Z..., director of the southern region and the Chassieu site at Brenntag SA, explained that "[t]he first agreement, in which I participated, took place in Lyon at the end of summer 1998, when the results of Brenntag Rhône-Alpes were very poor (as were those of our main competitors regionally, such as Quarrechim, Lambert Rivière, Vaissière)" (reference 14669). Mr. Pierre A..., formerly commercial director and sales director in Lyon from 1998 at Brenntag SA, stated that "[a]s of 1999, agreement practices were organized in Lyon at the initiative of Brenntag and Univar, who, faced with declining results, wished to restore their margin" (reference 10808).</w:t>
      </w:r>
    </w:p>
    <w:p>
      <w:r>
        <w:t>669. In the "Burgundy zone," the management report of Brenntag SA dated June 26, 1998, analyzing the gross results per ton of all its sites in the chemical commodities sector, shows that its site in Burgundy generated a result of 250 deutsche marks per ton (references 37287 to 37362). This amount appears particularly low compared to that of Île-de-France (650 DM/T) but similar to those of its sites that implemented the agreements ("northern zone": 250 DM/T, "Rhône-Alpes zone": 200 DM/T, and "western zone": 250 DM/T).</w:t>
      </w:r>
    </w:p>
    <w:p>
      <w:r>
        <w:t>670. In the "western zone," Mr. Marc-Antoine F..., former president of Solvadis, estimated that "[t]he crux of the debate was to say that the western region was devastated and that its activity required significant investments, and that a solution had to be found to allow for margin increases and facilitate these investments" (reference 34050). In this sense, Mr. Jean-Yves B..., regional director of the "western zone" at Brenntag SA, stated that "[h]is site was doing very well and that of Solvadis was deteriorating in parallel (...) I participated in these agreements to further improve my margins, to not let Solvadis lose money, and to keep a competitor rather than eliminate it and/or see an unknown arrive, likely to disrupt our balance" (reference 22505).</w:t>
      </w:r>
    </w:p>
    <w:p>
      <w:r>
        <w:t>671. Thus, it is in a context of deteriorated financial results deemed insufficient that the agreements emerged. Thus, Mr. Daniel X..., president of Brenntag SA from June 1998 to 2002, stated: "Jean-Marc Y... had bequeathed a results-oriented culture with remuneration based on results (...). Under these conditions, this results-oriented culture may have contributed to the initiation of the agreements" (reference 13321).</w:t>
      </w:r>
    </w:p>
    <w:p>
      <w:r>
        <w:t>672. However, these economic and financial difficulties did not affect all distributors across the entire territory and did not lead all of them to engage in an agreement practice. It appears from the documents in the file that no agreement was noted in the regions where the results of Brenntag SA's sites were deemed satisfactory. Thus, no agreement was noted in the "Île-de-France zone characterized by the good results of Brenntag SA's sites (references 10808, 11114, and 22691).</w:t>
      </w:r>
    </w:p>
    <w:p>
      <w:r>
        <w:t>♦ On the existence of an overall plan aimed at a single objective</w:t>
      </w:r>
    </w:p>
    <w:p>
      <w:r>
        <w:t>673. It follows from the findings made in paragraphs 89 and following that the companies participating in the various agreements mentioned above pursued the dual objective of preserving their market share and improving their margin. In doing so, they distorted competition in the sector in question by resorting to customer allocation practices and price coordination.</w:t>
      </w:r>
    </w:p>
    <w:p>
      <w:r>
        <w:t>674. In the "northern zone," Brenntag SA, through Mr. Jean-Pierre N..., director of the northern region, stated that the agreements "were put in place to 'regularize' the market subject to fluctuations in raw material prices and the arrival of a new competitor, Holvoet" (reference 14652).</w:t>
      </w:r>
    </w:p>
    <w:p>
      <w:r>
        <w:t>675. In the "Rhône-Alpes zone," Univar stated that the meetings concerning solvents "aimed to preserve market shares and maximize gross margin (...) As for mineral chemistry, it was about freezing the customer positions that each player delivered" (reference 574, 06/0092 AC). This statement is confirmed by tools such as "the marketing database," ensuring the proper implementation of the decisions made (paragraph 175). Other statements support the same view. Mr. Pascal H..., key account manager at Univar SAS until 2003, stated that "[i]t was about preserving market shares, volumes" (reference 11954). His successor estimated that "[t]he interest of these practices was to maintain existing positions" (references 14677).</w:t>
      </w:r>
    </w:p>
    <w:p>
      <w:r>
        <w:t>676. Brenntag SA also confirmed several times that the agreement in the "Rhône-Alpes zone" aimed at restoring the margins of the participants. Mr. Pierre A..., formerly commercial director and sales director in Lyon from 1998, noted that "[a]s of 1999, agreement practices were organized in Lyon at the initiative of Brenntag and Univar, who, faced with declining results, wished to restore their margin" (reference 10808). Subsequently, he confirmed that "[t]he objective of the consultation was to maintain a certain level of margin" (reference 33116). Mr. Olivier Z..., director of the southern region including the "Rhône-Alpes zone" and the "Burgundy zone," stated that the director of the Lyon site of Lambert Rivière called him "to propose meeting the new director of Quarrechim (now Univar) during a lunch, during which he suggested that we agree to increase our margins" (reference 14670). According to Mr. Pierre A..., former sales director at Brenntag SA in Rhône-Alpes, "[t]he objective of the consultation was to maintain a certain level of margin" (reference 33116).</w:t>
      </w:r>
    </w:p>
    <w:p>
      <w:r>
        <w:t>677. In the "Burgundy zone," Brenntag SA denounced an agreement that was to allow members "to maintain the volumes allocated to each of them. The allocation was not to alter the proportion of volumes on which the members had agreed" (reference 267, 06/0075 AC). Mr. Olivier Z...'s statements regarding the "Rhône-Alpes zone" also apply to the "Burgundy zone," as the agreements in these areas are similar, were initiated three months apart, and fall under the same regional director.</w:t>
      </w:r>
    </w:p>
    <w:p>
      <w:r>
        <w:rPr>
          <w:b/>
        </w:rPr>
        <w:t>[Pages 118–120]</w:t>
      </w:r>
    </w:p>
    <w:p>
      <w:r>
        <w:t>678. Regarding the "western zone," Univar also stated that the agreements in question aimed "to maintain positions and margins" (reference 577, 06/0092 AC). Mr. Jean-Yves B... confirmed Univar's statement by justifying Brenntag SA's participation in the agreements to "further improve [its] margins (...) The objective was indeed to improve our margins but not excessively" (reference 22505). Solvadis, for its part, indicated that "the crux of the debate was to say that the western region was devastated and that its activity required significant investments, and that a solution had to be found to allow for margin increases and to promote these investments" (reference 34050).</w:t>
      </w:r>
    </w:p>
    <w:p>
      <w:r>
        <w:t>♦ On the links of similarity and complementarity between the practices</w:t>
      </w:r>
    </w:p>
    <w:p>
      <w:r>
        <w:t>679. The various practices observed fall under an overall plan aimed at a concrete anti-competitive objective. They exhibit similarities and complementarities, which will be discussed successively below.</w:t>
      </w:r>
    </w:p>
    <w:p>
      <w:r>
        <w:t>On the participants in the infringement</w:t>
      </w:r>
    </w:p>
    <w:p>
      <w:r>
        <w:t>680. The participants in the practices in question consist each time of the national leader, Brenntag SA, and the main local operators, having a historical presence in the areas concerned (paragraphs 40 and following). Specifically regarding Brenntag SA, it should be noted that, due to its national presence, it is the only company competing with all the other participants.</w:t>
      </w:r>
    </w:p>
    <w:p>
      <w:r>
        <w:t>681. The functioning and effectiveness of the practices require the participation of the main actors in each zone; the cessation of participation by one of them led to their termination within the considered zone (paragraphs 699 and following).</w:t>
      </w:r>
    </w:p>
    <w:p>
      <w:r>
        <w:t>On the pivotal role of Brenntag SA</w:t>
      </w:r>
    </w:p>
    <w:p>
      <w:r>
        <w:t>682. It emerges from the findings and the documents in the file that Brenntag SA, in addition to its participation in all the identified agreements, thereby ensuring the link and complementarity between them, played a central role in the organization and implementation of the single infringement, taking the initiative for the agreements in three of the four zones, as well as overseeing these agreements and causing them to cease in most cases.</w:t>
      </w:r>
    </w:p>
    <w:p>
      <w:r>
        <w:t>683. Regarding Brenntag SA's role as initiator, several of its employees shift the responsibility for the initiative of the agreement in the "northern zone." Thus, Mr. Gilles O..., site director in Wattrelos, stated that "[a]s far as I remember and likely, it was on the instruction/impulse by phone from Jean-Pierre N..., director of the Northern region, given to my attention, that these meetings began" (reference 11975). Jean-Pierre N..., for his part, stated that "[a]s far as I remember, I think it was Gilles O..., my site director, who must have taken the initiative, and I gave him my agreement" (reference 14652). Mr. Philippe S..., deputy director in Wattrelos, stated that the agreement was initiated "on hierarchical instruction from the management of the Northern region" (reference 13362).</w:t>
      </w:r>
    </w:p>
    <w:p>
      <w:r>
        <w:t>684. In the "Rhône-Alpes zone," Mr. Michel E..., in charge of mineral chemistry at Vaissière-Favre from 1998 to the end of 2002, indicated that Brenntag SA was the initiator of the agreement. He stated that it was "Mr. Olivier Z... [who] took the initiative to bring together all the interlocutors in the region for an agreement on minerals and for the application of technical fees," whereas, according to Brenntag, such responsibility lies with Lambert-Rivière (references 14670 and 22788).</w:t>
      </w:r>
    </w:p>
    <w:p>
      <w:r>
        <w:t>685. In the "Bourgogne zone," Mr. Paul 15... of Brenntag SA stated that the initiative for the agreement was incumbent upon Mr. Olivier Z..., who would have "asked me to meet my competitors and colleagues in Reims in June 1998" (reference 14658).</w:t>
      </w:r>
    </w:p>
    <w:p>
      <w:r>
        <w:t>686. In the "western zone," Mr. Jean-Yves B..., former director of the central-west region at Brenntag SA, stated regarding the regional chemistry days that "[o]n that occasion, I met for the first time Pierre C… (from Langlois), we exchanged, and, notably on a few cases, we reproached each other for our respective margins. I jokingly suggested that we call each other to consult on a client (...) We implemented this resolution and gradually expanded it to other clients" (reference 22504).</w:t>
      </w:r>
    </w:p>
    <w:p>
      <w:r>
        <w:t>687. While the responsibility for the initiative of the agreement in the "Rhône-Alpes zone" cannot be clearly attributed to Brenntag due to contradictory statements, such responsibility is beyond doubt for the "northern," "Bourgogne," and "western" zones, regardless of the specific identities of the individuals within it who manifested this behavior.</w:t>
      </w:r>
    </w:p>
    <w:p>
      <w:r>
        <w:t>688. Regarding the monitoring of decisions made in consultation, the following mentions were noted for the "Northern zone" on a document: "12/17 call Mr. Q... (Clément) Heineken ... Heineken H202 we were at 415 (Clément gave 280) Ok raises its prices to 480" (reference 2869).</w:t>
      </w:r>
    </w:p>
    <w:p>
      <w:r>
        <w:t>689. In light of the other information on this document, these mentions are dated December 17, 1997. Mr. Michel P... stated in this regard that "Brenntag called Mr. Q... because RPC-Clément had taken an order from us at very low prices at Heineken. We wanted to know what was happening" (reference 34826).</w:t>
      </w:r>
    </w:p>
    <w:p>
      <w:r>
        <w:t>690. In the "Rhône-Alpes zone," Brenntag SA stated that the meetings "were an opportunity (notably and) more generally to verify compliance with the agreement" (reference 576, 06/0075 AC). Univar stated on this point that starting in 2003, "[a] meeting every month and a half took place to discuss adjustments to be made based on each party's market shares (2002 base), as well as the pricing of solvents and the margin level per client. Mineral chemistry was only considered at the end, and only for the price levels of products that were moving" (reference 575, 06/0092 AC).</w:t>
      </w:r>
    </w:p>
    <w:p>
      <w:r>
        <w:t>691. In this regard, a report dated November 30, 1999, from Mr. Grégory 10... concerning the client Rochex is in the file, which indicates "losses of markets in potash and caustic soda, sulfuric acid, taken by Vaissière (action with Vaissière + quotation)" (reference 621, 06/0075 AC). The interested party stated in this regard that "Mr. A... had indicated to me that the client Rochex was reserved for Brenntag Rhône-Alpes, but during the visit to this client, I realized that Vaissières had taken the markets. I informed Mr. A... so that he could approach Vaissières Favre to resolve the issue: namely, to let us keep the client. This type of dispute was not resolved at the commercial level but by the Sales Directors of each of the competing groups' sites" (reference 32911).</w:t>
      </w:r>
    </w:p>
    <w:p>
      <w:r>
        <w:t>692. In the "Bourgogne zone," Brenntag SA stated that it verified "that this customer distribution was indeed respected" (reference 267, 06/0075 AC). In support of this assertion, Brenntag SA provided four documents demonstrating the monitoring of the correct application of the decisions made (references 361, 362, 370, and 386, 06/0075 AC).</w:t>
      </w:r>
    </w:p>
    <w:p>
      <w:r>
        <w:t>693. In the "western zone," Brenntag SA stated that "[n]on-compliance with the agreement resulted in a simple reminder by phone but no other consequence" (reference 688, 06/0075 AC).</w:t>
      </w:r>
    </w:p>
    <w:p>
      <w:r>
        <w:t>694. It emerges from these elements that Brenntag SA has, at the very least, actively participated in monitoring the practices.</w:t>
      </w:r>
    </w:p>
    <w:p>
      <w:r>
        <w:t>695. Regarding Brenntag's role in the cessation of the infringement, it should be noted that it resulted, in the "northern zone," from an exogenous event, namely the appointment of Mr. V... within Districhimie, who expressed the desire to end his participation in the agreement (reference 11943).</w:t>
      </w:r>
    </w:p>
    <w:p>
      <w:r>
        <w:t>696. As for the "Rhône-Alpes zone," the suspension of the agreement in June 2003 resulted from the intervention of Mr. Yves 14..., chairman of the management board of Brenntag SA since April 2003. He stated that he "took various measures to identify these practices and to make them cease. I decided to meet (between April and June 2003) the directors concerned, Olivier Z... and Jean-Yves B..., who confirmed to me the existence of the practices. I asked them to put an end to the practices and I constantly reiterated this request, in meetings or one-on-one with the interested parties" (reference 14680).</w:t>
      </w:r>
    </w:p>
    <w:p>
      <w:r>
        <w:t>697. Regarding the "Bourgogne zone," the intervention of Mr. Yves 14... described above led to the cessation of the agreement in June 2003 (reference 269, 06/0075 AC).</w:t>
      </w:r>
    </w:p>
    <w:p>
      <w:r>
        <w:t>698. As for the "western zone," the trilateral consultation ended due to the merger of Lambert-Rivière, Vaissière-Favre, and Quarréchim (reference 22798). The bilateral consultation ceased, for its part, due to the repeated action of Mr. Yves 14.... The latter, commenting on a document in the file, explained: "[t]his agenda for a telephone meeting between regional directors (JYD: Jean-Yves B...; OP: Olivier Z...) allowed me to verify that the practices had indeed ceased. Indeed, at the end of 2005, I had doubts and asked our lawyers (...) to redo a training, which took place in February 2006" (reference 14683).</w:t>
      </w:r>
    </w:p>
    <w:p>
      <w:r>
        <w:t>On the chronology of the infringement</w:t>
      </w:r>
    </w:p>
    <w:p>
      <w:r>
        <w:t>699. Except for the agreement in the "northern zone," which began on December 17, 1997, all practices had the year 1998 as their starting point:</w:t>
        <w:br/>
        <w:t>- June 5, 1998, for the "Bourgogne zone";</w:t>
        <w:br/>
        <w:t>- September 1998, for the "Rhône-Alpes zone";</w:t>
        <w:br/>
        <w:t>- October 6, 1998, for the "western zone."</w:t>
      </w:r>
    </w:p>
    <w:p>
      <w:r>
        <w:t>700. These different agreements, although having ceased at different times for some of them, have the year 2003 as their breaking point. Indeed, the cessation in September 2001 of practices in the "northern zone" is due to the arrival of Mr. V... within Districhimie, who opposed their maintenance (reference 11943).</w:t>
      </w:r>
    </w:p>
    <w:p>
      <w:r>
        <w:t>701. While the agreement in the "Rhône-Alpes zone" did not cease until June 2005, the year 2003 is marked by its suspension in June, followed by its resumption in December. It is also in June 2003 that the practices in the "Bourgogne zone" ceased. Regarding the "western zone," as indicated above, the trilateral consultation ended, on the one hand, for the trilateral consultation on December 31, 2002, due to the merger of Lambert-Rivière, Vaissière-Favre, and Quarréchim into Univar, and, on the other hand, for the bilateral consultation in October 2003.</w:t>
      </w:r>
    </w:p>
    <w:p>
      <w:r>
        <w:rPr>
          <w:b/>
        </w:rPr>
        <w:t>[Pages 121–123]</w:t>
      </w:r>
    </w:p>
    <w:p>
      <w:r>
        <w:t>702. March 2003 is marked by the arrival at the head of Brenntag SA of Mr. Yves 14..., who ordered the termination of all agreements in which the company was participating (reference 582, 06/0075 AC). In parallel to this injunction, the management of Brenntag SA organized a training on competition law one month later (reference 582, 06/0075 AC).</w:t>
      </w:r>
    </w:p>
    <w:p>
      <w:r>
        <w:t>On the sector of activity targeted by the infringement</w:t>
      </w:r>
    </w:p>
    <w:p>
      <w:r>
        <w:t>703. The agreements overall concerned the distribution of the same products: chemical commodities. The products involved included solvents and mineral chemistry products, whether packaged or in bulk. Brenntag SA and its parent companies, in their observations in response to the report, recall in this regard having "submitted to the General Rapporteur a request for the implementation of the procedure of Article L. 464-2 IV of the Commercial Code, for practices implemented in the sector of chemical product distribution" (reference 46112).</w:t>
      </w:r>
    </w:p>
    <w:p>
      <w:r>
        <w:t>704. If, for certain agreements, the participants primarily focused their discussions on solvents or on mineral chemistry products, it appears that this choice results from the specificities of the sites involved. Thus, for the agreement in the "Burgundy zone," which mainly concerned mineral chemistry products, the Brenntag SA site in Torcy has a "storage capacity: approximately 6,000 m3 of mineral and 870 m3 of solvents" (reference 262, 06/0075 AC).</w:t>
      </w:r>
    </w:p>
    <w:p>
      <w:r>
        <w:t>705. The mode of distribution in question is also identical. Indeed, all participating companies are distributors. As explained in paragraphs 576 and following, the distribution service offered by them differs from that provided by producers or traders.</w:t>
      </w:r>
    </w:p>
    <w:p>
      <w:r>
        <w:t>On the modalities of implementation of the infringement</w:t>
      </w:r>
    </w:p>
    <w:p>
      <w:r>
        <w:t>706. The various agreements also presented similarities in their implementation. All the agreements noted in paragraphs 114 and following thus materialized through a dual practice of customer allocation and price coordination, interdependent on one another.</w:t>
      </w:r>
    </w:p>
    <w:p>
      <w:r>
        <w:t>707. The first of these modalities consisted of preserving the market shares of each of the participants. The variations noted in the findings were only due to a necessary adaptation depending on the category of customers targeted, more or less sensitive to prices. The second aimed to increase the level of margins or to facilitate the first of these modalities by setting a minimum price. In this regard, it is established that the companies involved coordinated pricing in the Rhône-Alpes, north, and west zones.</w:t>
      </w:r>
    </w:p>
    <w:p>
      <w:r>
        <w:t>708. Furthermore, as noted in the minutes of the receipt of the leniency application, Brenntag SA denounced, in particular, regional or local agreements for the allocation of customers and markets, and on the level of prices during the awarding of contracts by users of chemical commodities, particularly through cover offers and exchanges of information prior to the submission of bids (reference 2, 06/0075 AC). Brenntag SA also revealed for each of the zones involved agreements consisting of customer allocations and price coordinations (references 698 for the "north zone," 574 for the "Rhône-Alpes zone," 262 for the "Burgundy zone," and 685 for the "west zone," 06/0075 AC).</w:t>
      </w:r>
    </w:p>
    <w:p>
      <w:r>
        <w:t>On the involvement of the general management of the companies</w:t>
      </w:r>
    </w:p>
    <w:p>
      <w:r>
        <w:t>709. The elements in the file reveal that the management of the companies involved were aware of the various agreements noted. This involvement contributes to highlighting the complementarity of the practices desired by the participants.</w:t>
      </w:r>
    </w:p>
    <w:p>
      <w:r>
        <w:t>RPC Clément</w:t>
      </w:r>
    </w:p>
    <w:p>
      <w:r>
        <w:t>710. Mr. Jean-Marc Q..., a member of the management team of RPC-Clément and Langlois-chimie, participated in the consultation meetings until June 2001 on the "north zone" (paragraphs 412 and following).</w:t>
      </w:r>
    </w:p>
    <w:p>
      <w:r>
        <w:t>Langlois-Chimie</w:t>
      </w:r>
    </w:p>
    <w:p>
      <w:r>
        <w:t>711. Between October 1998 and December 2002, Mr. Pierre C..., director of the western region in charge of the industry, and Mr. Pascal 26..., national sales manager, participated in the consultation meetings and telephone exchanges on the "west zone" (paragraphs 412 and following).</w:t>
      </w:r>
    </w:p>
    <w:p>
      <w:r>
        <w:t>Solvadis</w:t>
      </w:r>
    </w:p>
    <w:p>
      <w:r>
        <w:t>712. Mr. Marc-Antoine F..., chairman of the management board of Solvadis from June 2002 to October 2003, acknowledged having been informed of the agreements during a meeting with Brenntag SA (paragraphs 412 and following). Mr. Jacques L..., notably a member of the management committee and the management team of Solvadis between February 2003 and January 2004, acknowledged having participated in meetings and had telephone contacts with his competitors (paragraphs 412 and following).</w:t>
      </w:r>
    </w:p>
    <w:p>
      <w:r>
        <w:t>Brenntag SA</w:t>
      </w:r>
    </w:p>
    <w:p>
      <w:r>
        <w:t>713. The agreements across all zones were initiated or approved by the various regional directors. In the "north zone," Mr. Jean-Pierre N..., as he stated, at the very least, gave his consent to the launch of the agreement (paragraphs 412 and following). He also attended the launch meeting of the agreement in the "Burgundy zone" (paragraphs 412 and following). Mr. Olivier Z..., director of the southern region including the "Rhône-Alpes zone" and the "Burgundy zone," participated in the launch meetings of the agreements in these zones and in those that followed (paragraphs 412 and following). In the "west zone," Mr. Jean-Yves B... initiated the agreements (paragraphs 412 and following). This executive was aware of the existence of agreements in the other zones. Indeed, he stated that he knew "that there were similar practices in the other regions, but I did not know the workings of these consultations. At the time, there were 4 regional directors: O. Z..., JP N..., myself, and Mr. B. D.... We regularly saw each other all 4 during management committees. We exchanged views on practices without going into details, on the sidelines of the management committees" (reference 34075).</w:t>
      </w:r>
    </w:p>
    <w:p>
      <w:r>
        <w:t>714. The documents also reveal that the management of Brenntag SA had been informed of these agreements. In this regard, Mr. Daniel X..., president of Brenntag SA from June 1998 to 2000, stated: "I was aware in 1998-1999 that there was something in Rhône-Alpes. Later, I had doubts about Brittany" (reference 13320). In this regard, Mr. Jean-Yves B... specified that "[i]n 2001-2002, Daniel X... asked me about these practices: I confirmed to him that such practices did exist but reassured him by indicating that these practices were not significant" (reference 22506). Mr. Yves 14..., president of Brenntag SA since April 2003, stated that his predecessor, Mr. Daniel X..., "informed me of the existence of practices at the Rhône-Alpes site and at the Maine-Bretagne site, which he presented to me as one of the problems I would have to address" (reference 14680).</w:t>
      </w:r>
    </w:p>
    <w:p>
      <w:r>
        <w:t>715. Furthermore, Mr. Bruno D..., formerly regional director of Brenntag for Île-de-France and a member of the management committee of Brenntag until 2004, stated that he was "part of the management committee composed of the four regional directors (Île-de-France, North, West, Lyon), the President, the two general directors, and one or two other people). (...) The agreements must have started in 1999 in Brittany and Lyon; I became aware in 2001, and the peak was reached in 2003. The group was extremely decentralized, compartmentalized. (...) Messrs. X..., 29..., and N... explained to me that these practices were in the interest of Brenntag. (...) In the management committee, Messrs. B... and Z... boasted about their actions" (reference 13333).</w:t>
      </w:r>
    </w:p>
    <w:p>
      <w:r>
        <w:t>716. The statements of Mr. Stéphane V... confirm the knowledge of these agreements by the management committee of Brenntag SA because "at the Brenntag Management Committee in January 2000, I learned that there were indeed illegal agreements in the Lyon and West regions. It was notorious, freely mentioned (even if this subject did not invite collective debates) by the persons concerned (2 Regional Directors) during lunches, various discussions, etc." (reference 11944).</w:t>
      </w:r>
    </w:p>
    <w:p>
      <w:r>
        <w:t>717. Finally, the presence of Mr. Daniel X..., president of Brenntag SA, at the launch meeting of the agreement in the "Rhône-Alpes zone" corroborates their knowledge by the management (paragraphs 412 and following). In this regard, Mr. Olivier Z..., director of the southern region including the "Rhône-Alpes" and "Burgundy" zones since 1997, confirms having "informed Daniel X..., then President, of these agreements, and he was present at a meeting during which the start of the practice was recorded" (reference 14670).</w:t>
      </w:r>
    </w:p>
    <w:p>
      <w:r>
        <w:t>Marce</w:t>
      </w:r>
    </w:p>
    <w:p>
      <w:r>
        <w:t>718. It is undisputed that the director of the company Marce, Mr. Bernard 34..., participated in the consultation meetings on the "Rhône-Alpes zone" (paragraphs 412 and following).</w:t>
      </w:r>
    </w:p>
    <w:p>
      <w:r>
        <w:t>Lambert-Rivière</w:t>
      </w:r>
    </w:p>
    <w:p>
      <w:r>
        <w:t>719. In the "Rhône-Alpes zone," Univar SAS acknowledged the knowledge by the management of Lambert-Rivière, Vaissière-Favre, and Quarréchim of their participation in the agreement. Univar SAS thus stated that "at the initiative of the local managers, it was decided in 1998 to bring together the main players, namely Lambert-Rivière, Brenntag, Quarréchim, and Vaissière-Favre in Paris (at the Novotel de Bercy) in the presence of the leaders of each company (...) It was clearly a local will realized with the blessing of the Parisian managements of the said companies" (reference 573).</w:t>
      </w:r>
    </w:p>
    <w:p>
      <w:r>
        <w:t>720. In the "west zone," phone calls were made between 1999 and 2001 by Mr. Jérôme 5..., regional manager at headquarters, and between 2001 and 2002 by Ms. Laurence J..., head of solvent products also at headquarters, at the request of the commercial director for the latter (paragraphs 412 and following). The latter also participated between 2000 and 2002 in the consultation meetings on the "Rhône-Alpes zone" and on the "west zone" (paragraphs 412 and following).</w:t>
      </w:r>
    </w:p>
    <w:p>
      <w:r>
        <w:t>Vaissière-Favre</w:t>
      </w:r>
    </w:p>
    <w:p>
      <w:r>
        <w:t>721. Between 1998 and 2002, Mr. Jean-Jacques W..., president of Vaissière Favre, personally participated in the launch meetings on the "Rhône-Alpes zone" (paragraphs 412 and following). Although his participation only began from the second meeting during which he would not have shown support for the practices, he subsequently took the initiative to contact his competitors to hold a new meeting to start the agreement.</w:t>
      </w:r>
    </w:p>
    <w:p>
      <w:r>
        <w:rPr>
          <w:b/>
        </w:rPr>
        <w:t>[Pages 124–126]</w:t>
      </w:r>
    </w:p>
    <w:p>
      <w:r>
        <w:t xml:space="preserve">Quarréchim  </w:t>
        <w:br/>
        <w:t xml:space="preserve">722. Between 1998 and 2002, the representatives of the general management participated in the consultation meetings, including Mr. Michel 3..., who was successively deputy general manager and then president of Quarréchim (paragraphs 412 and following).  </w:t>
        <w:br/>
        <w:t xml:space="preserve">Univar SAS  </w:t>
        <w:br/>
        <w:t xml:space="preserve">723. It appears from the documents in the file that the management of Univar SAS was aware of the agreements in question. Thus, Mr. Michel E..., regional director for the central zone including the "Rhône-Alpes" area, estimated that "Manuel 24... (general manager of Univar) was aware of the existence of the agreements even though no reporting was communicated to him. Furthermore, after analysis around 2004, it appeared that Univar's results in the central eastern region showed that the percentage of commercial margin was higher than in other regions" (reference 22788). Nicolas 30..., commercial director for France since 2005, indicated that "[m]y boss, Mr. 24..., was aware of these practices which he did not seek to stop. I think he was primarily concerned with the merger of the three companies that formed Univar and had set aside this difficulty" (reference 11164).  </w:t>
        <w:br/>
        <w:t xml:space="preserve">Caldic-Est  </w:t>
        <w:br/>
        <w:t xml:space="preserve">724. The documents in the file establish that the representatives of Caldic Est, namely Mr. Christian 18..., general manager, and Mr. Serge 19..., purchasing and sales director, participated in the launch meeting of the agreement in the "Burgundy zone" (paragraphs 412 and following). Mr. David 21..., sales representative and then, from 2000, sales director and member of the management team, also participated in the launch meeting of the agreement (paragraphs 412 and following).  </w:t>
        <w:br/>
        <w:t xml:space="preserve">725. In conclusion, the various practices observed in this case are part of an overall plan aimed, in a concrete manner, at restricting competition in the chemical commodities distribution sector, and are further characterized by significant common points concerning, in particular, their chronology, their design and implementation methods, the companies involved, and the pivotal role of Brenntag in their operation. The existence of a unique and complex infringement is therefore established, as neither Solvadis, nor Univar SAS, nor Caldic Est contest this (paragraphs 503 and following).  </w:t>
        <w:br/>
        <w:t xml:space="preserve">726. The differences between the agreements developed in their writings by Brenntag SA and its parent companies are not sufficient to challenge the existence of the overall plan aimed at a concrete anticompetitive objective noted above, nor the set of significant common points outlined above.  </w:t>
        <w:br/>
        <w:t xml:space="preserve">727. The standard of proof that Brenntag SA and its parent companies claim to impose in order to retain the qualification of complex and continuous infringement is not that derived from the case law recalled in paragraphs 596 to 613 above, which is fulfilled in this case for the reasons outlined in paragraphs 630 to 726 above. Their arguments in this regard must therefore be dismissed. In particular, as recalled above, a perfect identity between the agreements apprehended is in no way required. It is also not required by case law to demonstrate, on the one hand, the awareness that the companies concerned would have of participating in a global infringement and, on the other hand, the existence of a meeting of minds regarding the overall plan. On the contrary, the Tribunal noted in this regard that the case law "does not mention a subjective criterion regarding the assessment of the unique nature of an infringement. Therefore, the question of whether a set of agreements and practices contrary to Article [101, paragraph 1, TFEU] constitutes a unique and continuous infringement is, on the contrary, a question that depends solely on objective factors, among which is the common objective of said agreements and practices. The latter is a criterion that must be assessed solely in light of the content of these agreements and practices and must not be confused, as Siemens seems to do, with the subjective intention of the various companies to participate in a unique and continuous agreement. On the other hand, this subjective intention can and should only be taken into account in the context of assessing the individual participation of a company in such a unique and continuous agreement" (Siemens judgment, cited above, paragraph 246; see also, in this sense, judgment of the Court of Justice of December 6, 2012, Commission/Verhuizingen Coppens, C-441/11 P, paragraph 41).  </w:t>
        <w:br/>
        <w:t xml:space="preserve">On the object of the infringement  </w:t>
        <w:br/>
        <w:t xml:space="preserve">Reminder of principles  </w:t>
        <w:br/>
        <w:t xml:space="preserve">728. The essential objective of competition law is for every economic operator to autonomously determine the policy it intends to follow in the market (see, in this sense, judgments of the Court of Justice of July 14, 1981, Züchner, 172/80, Rec. p. 2021, paragraph 13, and of June 4, 2009, T-Mobile Netherlands e.a., C-8/08, Rec. p. I-4529, paragraph 32).  </w:t>
        <w:br/>
        <w:t xml:space="preserve">729. In the case of agreements manifesting during meetings of competing companies, an infringement of competition rules is constituted when these meetings have the object or effect of restricting, preventing, or distorting competition and thus aim to artificially organize the functioning of the market (see, in this sense, judgment of the Court of Justice of June 28, 2005, Dansk Rørindustri e.a./Commission, Rec. 2002, p. II-1681, paragraph 145).  </w:t>
        <w:br/>
        <w:t xml:space="preserve">730. Article 101, paragraph 1, TFEU expressly targets as restrictive of competition and incompatible with the internal market agreements and concerted practices consisting, on the one hand, of directly or indirectly fixing prices or other transaction conditions and, on the other hand, of allocating markets or sources of supply.  </w:t>
        <w:br/>
        <w:t xml:space="preserve">731. Similarly, Article L. 420-1 of the Commercial Code expressly prohibits concerted actions, agreements, express or tacit arrangements between companies when they have the object or may have the effect of preventing, restricting, or distorting competition in a market, notably when they aim, on the one hand, to obstruct price setting by the free play of the market by artificially promoting their increase or decrease and, on the other hand, to allocate markets or sources of supply.  </w:t>
        <w:br/>
        <w:t xml:space="preserve">732. Finally, it follows from the very terms of the preceding provisions that the anticompetitive object and effect of such practices are alternative and non-cumulative conditions for assessing whether they can be sanctioned under these provisions (judgments of the Court of Justice of June 4, 2009, T-Mobile Netherlands e.a., cited above, paragraphs 28 and 30, and of October 6, 2009, GlaxoSmithKline Services/Commission, C-501/06 P, C-513/06 P, C-515/06 P and C-519/06 P, Rec. p. I-9291, paragraph 55; judgment of the Paris Court of Appeal of June 15, 2010, Veolia Transports, no. 2009/20624, p. 13).  </w:t>
        <w:br/>
        <w:t xml:space="preserve">Assessment of the Authority  </w:t>
        <w:br/>
        <w:t xml:space="preserve">733. The various aspects of the practices observed in this case do indeed have an anticompetitive object, as recalled below.  </w:t>
        <w:br/>
        <w:t xml:space="preserve">♦ On customer allocations  </w:t>
        <w:br/>
        <w:t xml:space="preserve">734. Article 101, paragraph 1, (c), TFEU expressly provides that measures consisting of allocating markets constitute restrictions of competition. The same applies to Article L. 420-1 of the Commercial Code.  </w:t>
        <w:br/>
        <w:t xml:space="preserve">735. As outlined above, the unique and complex infringement in this case included several agreements consisting of customer allocations. Such practices have thus been noted in the following areas:  </w:t>
        <w:br/>
        <w:t xml:space="preserve">- "northern zone": non-aggression pact and submission of cover bids;  </w:t>
        <w:br/>
        <w:t xml:space="preserve">- "Rhône-Alpes zone": tour system replaced by a non-aggression pact for solvents and a non-aggression pact for mineral chemistry products;  </w:t>
        <w:br/>
        <w:t xml:space="preserve">- "Burgundy zone": customer allocation and submission of cover bids;  </w:t>
        <w:br/>
        <w:t xml:space="preserve">- "western zone": allocation of customers both concerning the trilateral consultation for solvents and bilateral for mineral chemistry products.  </w:t>
        <w:br/>
        <w:t xml:space="preserve">736. These customer allocation practices, which fall within the same unique and complex infringement described in paragraphs 630 to 726, violate the provisions of Articles 101, paragraph 1, TFEU and L. 420-1 of the Commercial Code, which is not contested by Solvadis, Univar SAS, and Caldic Est (paragraphs 503 and following).  </w:t>
        <w:br/>
        <w:t xml:space="preserve">♦ On common price fixing and price coordination  </w:t>
        <w:br/>
        <w:t xml:space="preserve">737. Article 101, paragraph 1, (a), TFEU expressly provides that measures consisting of directly or indirectly fixing purchase or sale prices constitute restrictions of competition. The same applies to Article L. 420-1 of the Commercial Code.  </w:t>
        <w:br/>
        <w:t xml:space="preserve">738. It was found, in the "northern zone," that the participants in the infringement coordinated pricing in order to implement the customer allocation described above, on the one hand, and to pass on supplier price increases, on the other hand. In the "Rhône-Alpes zone," an agreement consisting of common price fixing that allowed for customer allocation in the form of volume allocation and freezing of market shares of the participants was established. In the "Burgundy zone," the participants resorted to price coordination during the submission of cover bids. Finally, in the "western zone," the participants coordinated their pricing policy with the aim of jointly passing on supplier price increases to the resale prices of mineral chemistry products and facilitating customer allocations.  </w:t>
        <w:br/>
        <w:t xml:space="preserve">739. These agreements consisting of common price fixing and price coordination, which fall within the same unique and complex infringement described in paragraphs 630 to 726, violate the provisions of Articles 101, paragraph 1, TFEU and L. 420-1 of the Commercial Code, which is not contested by Solvadis, Univar, and Caldic Est (paragraphs 503 and following).  </w:t>
        <w:br/>
        <w:t xml:space="preserve">On the duration and continuity of the infringement  </w:t>
        <w:br/>
        <w:t xml:space="preserve">Reminder of principles  </w:t>
        <w:br/>
        <w:t>740. To determine the duration of an infringement of competition rules, it is necessary to seek the period that elapsed between the date of its conclusion and the date on which it was terminated (judgments of the Tribunal of July 27, 2005, Brasserie nationale e.a./Commission, T-49/02 to T-51/02, Rec. p. II-3033, paragraph 185, and of December 5, 2006, Westfalen Gassen Nederland/Commission, T-303/02, Rec. p. II-4567, paragraph 138). In the absence of elements of</w:t>
      </w:r>
    </w:p>
    <w:p>
      <w:r>
        <w:rPr>
          <w:b/>
        </w:rPr>
        <w:t>[Pages 127–129]</w:t>
      </w:r>
    </w:p>
    <w:p>
      <w:r>
        <w:t xml:space="preserve">evidence capable of directly establishing the duration of this infringement and its continuity, the competition authority must rely, at the very least, on evidence relating to facts that are sufficiently close in time, so that it can be reasonably accepted that this infringement continued uninterrupted between two specific dates (judgments of the Court of 7 July 1994, Dunlop Slazenger/Commission, T-43/92, Rec. p. II-441, point 79, and of 16 November 2006, Peróxidos Orgánicos/Commission, T-120/04, Rec. p. II-4441, point 51).  </w:t>
        <w:br/>
        <w:t xml:space="preserve">741. It should be emphasized that, according to case law, the suspension of an anticompetitive practice for a determined period does not prevent it from being classified as a continuous infringement as long as, after its interruption, it was resumed under the same conditions (judgments of the Court of 20 March 2002, Dansk Rørindustri/Commission, T-21/99, Rec. p. II-1681, points 53 to 56, of 5 April 2006, Degussa/Commission, T-279/02, Rec. p. II-897, point 178, and of 19 May 2010, IMI e.a./Commission, T-18/05, Rec. p. II-1769, points 96 and 97, and of the Paris Court of Appeal of 29 March 2012, Lacroix signalisation e.a., n° 2011/01228, p. 10).  </w:t>
        <w:br/>
        <w:t xml:space="preserve">742. Regarding the proof of the duration of this infringement and its continuity, the Union judge considered that between two specific dates for which it was established, statements from companies about their continuity could constitute sufficient evidence (judgment of the Court of 5 April 2006, Degussa/Commission, cited above, point 153).  </w:t>
        <w:br/>
        <w:t xml:space="preserve">Assessment of the Authority  </w:t>
        <w:br/>
        <w:t xml:space="preserve">♦ On the starting point of the infringement  </w:t>
        <w:br/>
        <w:t xml:space="preserve">743. In the "northern zone," it is established that Brenntag SA, Districhimie, and RPC Clément colluded from 17 December 1997 (paragraphs 116 and following). In the "Rhône-Alpes zone," the agreement was implemented by Brenntag SA, Lambert-Rivière, Vaissière-Favre, and Quarréchim from the meeting held in Paris in September 1998 (paragraphs 164 and following). In the "Burgundy zone," it was implemented from 5 June 1998, the date on which Brenntag SA and Caldic Est participated in a meeting in Reims (paragraphs 247 and following). In the "western zone," it was implemented following the regional chemistry days on 6 October 1998, by Brenntag SA, Langlois Chimie, and Lambert-Rivière (paragraphs 332 and following).  </w:t>
        <w:br/>
        <w:t xml:space="preserve">744. The unique and complex infringement encompassing these different practices is therefore established from 17 December 1997. In this regard, it should be recalled that it matters little and is even inherent to the notion of a complex and continuous infringement that, in light of the evidence in the file, the dates of implementation of the different practices covered by such an infringement are not necessarily the same (judgment BPB/Commission, cited above, point 256).  </w:t>
        <w:br/>
        <w:t xml:space="preserve">♦ On the end date of the infringement  </w:t>
        <w:br/>
        <w:t xml:space="preserve">745. In the "northern zone," the infringement ceased in September 2001 (paragraphs 160 and following). In the "Rhône-Alpes zone," although it was suspended in June 2003, it was resumed under the same conditions, as was not contested in the hearing by Brenntag SA and its parent companies, in December of the same year to cease in June 2005 (paragraphs 241 and following). In the "Burgundy zone," its implementation is confirmed until June 2003 (paragraphs 329 and following). In the "western zone," it is established, regarding solvents, until 31 December 2002 and, regarding mineral chemistry products, until October 2003 (paragraphs 375 and following).  </w:t>
        <w:br/>
        <w:t xml:space="preserve">746. The unique, complex, and continuous infringement encompassing these different practices is therefore established until June 2005.  </w:t>
        <w:br/>
        <w:t xml:space="preserve">♦ Conclusion on the duration of the infringement  </w:t>
        <w:br/>
        <w:t xml:space="preserve">747. The duration of the infringement is therefore demonstrated for a period of 7 years, 5 months, and 15 days, which is not contested by Solvadis, Univar SAS, and Caldic Est (paragraphs 503 and following).  </w:t>
        <w:br/>
        <w:t xml:space="preserve">On the individual participation of the accused in the complex and continuous infringement  </w:t>
        <w:br/>
        <w:t xml:space="preserve">On the proof of individual participation  </w:t>
        <w:br/>
        <w:t xml:space="preserve">♦ Reminder of the principles  </w:t>
        <w:br/>
        <w:t xml:space="preserve">748. The case law of the Union recalls that unique, complex, and continuous infringements result "necessarily from the collaboration of several companies, which are all co-authors of the infringement, but whose participation may take different forms, depending in particular on the characteristics of the market, the objectives pursued, and the methods of execution chosen or envisaged," and that these differences are not sufficient to exempt the participating companies from their liability, including "for behaviors that are materially implemented by other participating companies, but which share the same object or the same anticompetitive effect" (judgment Commission/Anic Partecipazioni, cited above, points 79 and 80). In such a case, the participating company is liable, "for the entire period of its participation in the said infringement, for the behaviors implemented by other companies within the framework of the same infringement. This is indeed the case when it is established that the company in question was aware of the infringing behaviors of the other participants or that it could reasonably foresee them and that it was willing to accept the risk" (judgment Commission/Anic Partecipazioni, cited above, point 83; see also judgments of the Court of Cassation of 9 October 2007, Véolia transport e.a., n° 06-12446 and of the Paris Court of Appeal of 11 October 2012, Entreprise H. Chevalier nord, n° 2011/03298, p. 45).  </w:t>
        <w:br/>
        <w:t xml:space="preserve">749. Thus, a company may have directly participated in all the anticompetitive behaviors constituting the unique, complex, and continuous infringement, in which case the competition authority is entitled to attribute to it the responsibility for all these behaviors and, consequently, for the said infringement as a whole (judgment Commission/Verhuizingen Coppens, cited above, point 43).  </w:t>
        <w:br/>
        <w:t xml:space="preserve">750. A company may also have directly participated only in part of the anticompetitive behaviors constituting the unique, complex, and continuous infringement, but have been aware of all the other infringing behaviors contemplated or implemented by the other participants in the agreement in pursuit of the same objectives, or have been able to reasonably foresee them and have been willing to accept the risk. In such a case, the competition authority is also entitled to attribute to this company the responsibility for all the anticompetitive behaviors constituting such an infringement and, consequently, for it as a whole (judgment Commission/Verhuizingen Coppens, cited above, point 43).  </w:t>
        <w:br/>
        <w:t xml:space="preserve">751. Conversely, if a company has directly participated in one or more of the anticompetitive behaviors constituting a unique, complex, and continuous infringement, but it is not established that, by its own behavior, it intended to contribute to the overall common objectives pursued by the other participants in the infringement and that it was aware of all the other infringing behaviors contemplated or implemented by said participants in pursuit of the same objectives or that it could reasonably foresee them and was willing to accept the risk, the competition authority is only entitled to attribute to it the responsibility for the behaviors to which it directly participated and for the behaviors contemplated or implemented by the other participants in pursuit of the same objectives that it is proven it was aware of or could reasonably foresee and was willing to accept the risk (judgment Commission/Verhuizingen Coppens, cited above, point 44).  </w:t>
        <w:br/>
        <w:t xml:space="preserve">752. In this latter case, the Court of Justice has nevertheless specified that this cannot "lead to exempting this company from its liability for the behaviors of which it is established that it participated or for which it can effectively be held responsible" (judgment Commission/Verhuizingen Coppens, cited above, point 45).  </w:t>
        <w:br/>
        <w:t xml:space="preserve">♦ Arguments of the parties  </w:t>
        <w:br/>
        <w:t xml:space="preserve">753. Brenntag SA and its parent companies argue that, in order to attribute a unique, complex, and continuous infringement to a company that participated only in certain of its constituent elements, it should be proven, on the one hand, that it was aware of participating in a global plan and, on the other hand, that it was aware of the infringing behaviors implemented by the other members of the agreement.  </w:t>
        <w:br/>
        <w:t xml:space="preserve">♦ Assessment of the Authority  </w:t>
        <w:br/>
        <w:t xml:space="preserve">754. The individual participation of RPC Clément, Langlois-Chimie, Solvadis, Brenntag SA, Lambert-Rivière, Quarréchim, Vaissière-Favre, Univar SAS, and Caldic Est will be examined successively.  </w:t>
        <w:br/>
        <w:t xml:space="preserve">RPC Clément, Langlois-Chimie, and Solvadis  </w:t>
        <w:br/>
        <w:t xml:space="preserve">755. It has been demonstrated in paragraphs 123 and following that RPC Clément directly participated in the agreement in the "northern zone" and in paragraphs 337 and following that Langlois-Chimie was one of the actors in the agreements in the "western zone."  </w:t>
        <w:br/>
        <w:t xml:space="preserve">756. These companies, then Solvadis, were aware of the agreements in the "Rhône-Alpes zone" and the "Burgundy zone." Mr. Pierre C..., key account director from 2003 to April 2004, stated that "[f]urthermore, there were many recruitments from the competition: at Solvadis, the directors of the Île-de-France, North, and South-West regions came from Brenntag, I could not be unaware of what was happening at Brenntag" (reference 13356). Solvadis also denounced practices across all the selected zones. Thus, this knowledge of the practices in the "Rhône-Alpes zone" and the "Burgundy zone" is not contested by Solvadis.  </w:t>
        <w:br/>
        <w:t xml:space="preserve">757. Thus, Solvadis, which did not contest it, must be held responsible for all the anticompetitive behaviors constituting the unique, complex, and continuous infringement in this case and, consequently, for it as a whole.  </w:t>
        <w:br/>
        <w:t xml:space="preserve">Brenntag SA  </w:t>
        <w:br/>
        <w:t>758. Brenntag SA participated in all the agreements established in the "northern," "Rhône-Alpes," "Burgundy," and "western" zones, which it also denounced (paragraphs 7 and following). It has also been demonstrated that the management of Brenntag SA was aware of it (paragraphs 713 and following). There is no need, in light of the case law recalled above, to additionally demonstrate its awareness of participating in a global plan.</w:t>
      </w:r>
    </w:p>
    <w:p>
      <w:r>
        <w:rPr>
          <w:b/>
        </w:rPr>
        <w:t>[Pages 130–132]</w:t>
      </w:r>
    </w:p>
    <w:p>
      <w:r>
        <w:t xml:space="preserve">759. Thus, Brenntag SA must be held responsible for all of these behaviors and, consequently, for the unique, complex, and continuous offense as a whole.  </w:t>
        <w:br/>
        <w:t xml:space="preserve">Lambert-Rivière and Quarréchim  </w:t>
        <w:br/>
        <w:t xml:space="preserve">760. It has been demonstrated that Lambert-Rivière directly participated in the agreements identified in the "Rhône-Alpes" zone in paragraphs 169 and following and the "western zone" in paragraph 337. Quarréchim, for its part, implemented the agreement in the "Rhône-Alpes" zone. This latter company was 100% owned by Lambert-Rivière from 1998 until January 1, 2003.  </w:t>
        <w:br/>
        <w:t xml:space="preserve">761. In the "northern zone," Ms. Laurence J..., product manager for solvents, was the contact person for Lambert-Rivière regarding the agreements implemented in several territories. She indeed stated that she was "the interlocutor of the various competitors in the East, North, and Brittany regions for these clients, and we exchanged information by phone, and I tried to maintain, in agreement with my competitors, my sales levels. I communicated the price afterwards to the sellers located in the relevant areas, for these specific clients, and within the occasional framework specified above" (reference 22796).  </w:t>
        <w:br/>
        <w:t xml:space="preserve">762. Lambert-Rivière and Quarréchim did not delineate a "Burgundy zone" but a "central zone" that covers the "Rhône-Alpes" and "Burgundy" areas defined by Brenntag SA. Therefore, the agreement between Brenntag SA and Caldic Est in the "Burgundy" zone affected competition in the "central zone" as identified by Lambert-Rivière and Quarréchim. Thus, Ms. Laurence J... had, in particular, the geographical scope of activity in the "Rhône-Alpes" and "Burgundy" zones.  </w:t>
        <w:br/>
        <w:t xml:space="preserve">763. Consequently, Lambert-Rivière and Quarréchim could reasonably foresee the agreements in the "northern zone" and the "Burgundy zone" and accept the risk. These two companies do not contest the knowledge of the agreements in the areas where they were not present.  </w:t>
        <w:br/>
        <w:t xml:space="preserve">764. Thus, Lambert-Rivière and Quarréchim must therefore be attributed the responsibility for the unique, complex, and continuous offense as a whole, which Univar did not contest.  </w:t>
        <w:br/>
        <w:t xml:space="preserve">Vaissière-Favre  </w:t>
        <w:br/>
        <w:t xml:space="preserve">765. As noted in paragraphs 169 and following, Vaissière-Favre directly participated in the agreement identified in the "Rhône-Alpes" zone. This company was acquired in 2000 by the Vopak group, which notably owned Lambert-Rivière (paragraphs 860 and following).  </w:t>
        <w:br/>
        <w:t xml:space="preserve">766. Vaissière-Favre could therefore reasonably foresee the agreements in the "northern zone," the "Burgundy zone," and the "western zone," and accept the risk. The knowledge of these agreements is not contested by the company in question.  </w:t>
        <w:br/>
        <w:t xml:space="preserve">767. Thus, Vaissière-Favre must therefore be attributed the responsibility for the unique, complex, and continuous offense as a whole, which Univar did not contest.  </w:t>
        <w:br/>
        <w:t xml:space="preserve">Univar SAS  </w:t>
        <w:br/>
        <w:t xml:space="preserve">768. Resulting from the merger of Lambert-Rivière, Quarréchim, and Vaissière-Favre, several companies that participated in the agreements in the "Rhône-Alpes" and "western zone," and which itself continued to implement them, Univar SAS was aware of this.  </w:t>
        <w:br/>
        <w:t xml:space="preserve">769. Regarding the knowledge of the agreements identified in the "northern zone" and the "Burgundy zone," the same conclusion as for Lambert-Rivière, Quarréchim, and Vaissière-Favre applies to Univar SAS.  </w:t>
        <w:br/>
        <w:t xml:space="preserve">770. Consequently, Univar SAS could reasonably foresee the agreements in the "northern zone" and the "Burgundy zone" and accept the risk. This company does not contest the knowledge of the agreements in the areas where it was not present.  </w:t>
        <w:br/>
        <w:t xml:space="preserve">771. Thus, Univar SAS must therefore be attributed the responsibility for the unique, complex, and continuous offense as a whole, which it did not contest.  </w:t>
        <w:br/>
        <w:t xml:space="preserve">Caldic Est  </w:t>
        <w:br/>
        <w:t xml:space="preserve">772. As demonstrated in paragraphs 258 and following, Caldic Est directly participated in the agreement identified in the "Burgundy zone."  </w:t>
        <w:br/>
        <w:t xml:space="preserve">773. Furthermore, during the commission of the agreement, Mr. Michel 20... was in contact, through meetings and phone calls, with Mr. Olivier Z..., responsible for the "Burgundy zone" and the "Rhône-Alpes zone" at Brenntag SA, and Mr. Jean-Pierre N..., responsible for the "northern zone" at the same company. It should be recalled that Mr. Olivier Z... and Mr. Jean-Pierre N... were also members of the management committee of Brenntag SA. Caldic Est could therefore not ignore that the agreement in which it participated was not limited to the "Burgundy zone." This knowledge of the agreements in the "northern zone" and the "Rhône-Alpes zone" is not contested by the company in question.  </w:t>
        <w:br/>
        <w:t xml:space="preserve">774. Thus, Caldic Est must be held responsible for all the anticompetitive behaviors constituting the unique, complex, and continuous offense in this case, except for the agreements in the "western zone," and consequently, for this as a whole.  </w:t>
        <w:br/>
        <w:t xml:space="preserve">On the duration of individual participation of the companies involved  </w:t>
        <w:br/>
        <w:t xml:space="preserve">♦ Reminder of principles  </w:t>
        <w:br/>
        <w:t xml:space="preserve">775. Under case law, the companies involved must be held responsible for the offense for the entire period of their participation in it (judgment Commission/Anic Partecipazioni, cited above, paragraph 83; see also judgment of the Court of March 6, 2012, UPM-Kymmene/Commission, T-53/06, not yet published in the Official Reports, paragraph 52). Internal case law is in the same direction (see judgment Lacroix Signalisation e.a., cited above, p. 32).  </w:t>
        <w:br/>
        <w:t xml:space="preserve">♦ Assessment of the authority  </w:t>
        <w:br/>
        <w:t xml:space="preserve">776. The duration of individual participation in the RPC offense of RPC Clément, Langlois-Chimie, Brenntag SA, Marce, Lambert-Rivière, Vaissière-Favre, Quarréchim, Univar SAS, Caldic Est, and Districhimie will be examined successively.  </w:t>
        <w:br/>
        <w:t xml:space="preserve">RPC Clément  </w:t>
        <w:br/>
        <w:t xml:space="preserve">777. Being a party to the agreement in the "northern zone," RPC Clément participated in the unique, complex, and continuous offense from December 17, 1997, to September 2001.  </w:t>
        <w:br/>
        <w:t xml:space="preserve">Solvadis  </w:t>
        <w:br/>
        <w:t xml:space="preserve">778. Being a party to the agreements in the "western zone," and having absorbed RPC Clément on October 10, 2005, Langlois-Chimie, renamed Solvadis on January 1, 2002, participated in the unique, complex, and continuous offense from December 17, 1997, to October 2003.  </w:t>
        <w:br/>
        <w:t xml:space="preserve">Brenntag SA  </w:t>
        <w:br/>
        <w:t xml:space="preserve">779. It is established that Brenntag SA participated in all the agreements identified in paragraphs 114 and following above during the following durations:  </w:t>
        <w:br/>
        <w:t xml:space="preserve">- "northern zone": from December 17, 1997, to September 2001;  </w:t>
        <w:br/>
        <w:t xml:space="preserve">- "Rhône-Alpes zone": from September 1998 to June 2003 and then from December 2003 to June 2005;  </w:t>
        <w:br/>
        <w:t xml:space="preserve">- "Burgundy zone": from June 5, 1998, to June 2003;  </w:t>
        <w:br/>
        <w:t xml:space="preserve">- "western zone": from October 6, 1998, to December 31, 2002, for the trilateral consultation and to October 2003 for the bilateral consultation.  </w:t>
        <w:br/>
        <w:t xml:space="preserve">780. Brenntag therefore participated in the unique, complex, and continuous offense from December 17, 1997, to June 2005.  </w:t>
        <w:br/>
        <w:t xml:space="preserve">Marce  </w:t>
        <w:br/>
        <w:t xml:space="preserve">781. Being a party to the agreement in the "Rhône-Alpes zone," Marce participated in the unique, complex, and continuous offense from January 1, 1999, to October 11, 2001, the date of its absorption by Brenntag SA.  </w:t>
        <w:br/>
        <w:t xml:space="preserve">Lambert-Rivière  </w:t>
        <w:br/>
        <w:t xml:space="preserve">782. It is established that Lambert-Rivière participated in the agreement in the "Rhône-Alpes zone" and, for the sole trilateral agreement, in the "western zone."  </w:t>
        <w:br/>
        <w:t xml:space="preserve">783. Lambert-Rivière therefore participated in the unique, complex, and continuous offense from September 1998 to December 31, 2002, the date of the merger that gave rise to Univar SAS.  </w:t>
        <w:br/>
        <w:t xml:space="preserve">Vaissière-Favre  </w:t>
        <w:br/>
        <w:t xml:space="preserve">784. Being a party to the agreement in the "Rhône-Alpes zone," Vaissière-Favre participated in the unique, complex, and continuous offense from September 1998 to December 31, 2002, the date of the merger that gave rise to Univar SAS.  </w:t>
        <w:br/>
        <w:t xml:space="preserve">Quarréchim  </w:t>
        <w:br/>
        <w:t xml:space="preserve">785. Being a party to the agreement in the "Rhône-Alpes zone," Quarréchim participated in the unique, complex, and continuous offense from September 1998 to December 31, 2002, the date of the merger that gave rise to Univar SAS.  </w:t>
        <w:br/>
        <w:t xml:space="preserve">Univar SAS  </w:t>
        <w:br/>
        <w:t xml:space="preserve">786. Being a party to the agreement in the "Rhône-Alpes zone," Univar SAS participated in the unique, complex, and continuous offense from January 1, 2003, the date of its creation, to June 2003 and then from December 2003 to June 2005.  </w:t>
        <w:br/>
        <w:t xml:space="preserve">Caldic Est  </w:t>
        <w:br/>
        <w:t xml:space="preserve">787. Being a party to the agreement in the "Burgundy zone," Caldic Est participated in the unique, complex, and continuous offense from June 5, 1998, to June 2003.  </w:t>
        <w:br/>
        <w:t xml:space="preserve">3. ON GRIEVANCE NO. 2  </w:t>
        <w:br/>
        <w:t xml:space="preserve">788. During the proceedings, Brenntag denounced a collusion practice with Chemco, distinct from those subject to grievance no. 1.  </w:t>
        <w:br/>
        <w:t>789. The anticompetitive nature of the identified practices will be examined successively, followed by the individual participation of the companies involved and the duration of the practices.</w:t>
      </w:r>
    </w:p>
    <w:p>
      <w:r>
        <w:rPr>
          <w:b/>
        </w:rPr>
        <w:t>[Pages 133–135]</w:t>
      </w:r>
    </w:p>
    <w:p>
      <w:r>
        <w:t xml:space="preserve">a) The anti-competitive nature of the established practices  </w:t>
        <w:br/>
        <w:t xml:space="preserve">790. For a reminder of the applicable principles, reference is made to those set out in paragraphs 728 and following above.  </w:t>
        <w:br/>
        <w:t xml:space="preserve">791. In this case, it should be noted that Chemco does not deny having coordinated with Brenntag. However, Chemco argues that this coordination could not have the object or effect of restricting competition as it did not concern a customer allocation but only a distribution of deliveries to this customer. Furthermore, Chemco contests having participated in a price-fixing agreement as GKN was free to choose another supplier and accepted the pricing conditions proposed by Brenntag or Chemco without any coercion.  </w:t>
        <w:br/>
        <w:t xml:space="preserve">792. However, it emerges from the file that Chemco and Brenntag agreed to allocate the methanol orders delivered by full trucks to the customer GKN, while coordinating on the prices charged to this customer.  </w:t>
        <w:br/>
        <w:t xml:space="preserve">793. Thus, the Authority noted in paragraph 484 of the decision a perfect regularity in the alternation of methanol orders between Brenntag and Chemco regarding GKN.  </w:t>
        <w:br/>
        <w:t xml:space="preserve">794. To implement this practice, the Authority noted in paragraphs 485 and following of the decision that the companies involved had organized cross-deliveries of methanol among themselves, allowing them to smooth out the orders placed by GKN throughout the year. These findings are corroborated by Brenntag's statements (reference no. 14364).  </w:t>
        <w:br/>
        <w:t xml:space="preserve">795. In doing so, the parties communicated the rates at which they ultimately billed the customer GKN, each delivery made for this purpose being paid at the price set for the customer GKN. Moreover, it was noted in paragraph 479 of the decision that Chemco and Brenntag coordinated by phone on the pricing proposals to be submitted to GKN for each of its quotation requests (reference 37205).  </w:t>
        <w:br/>
        <w:t xml:space="preserve">796. The Authority indeed found in paragraphs 490 and following of the decision that the parties had implemented these cross-deliveries at a supra-competitive price, without being able to justify the economic interest that there could be for a buyer to source from a supplier that is systematically more expensive, albeit in a limited but continuous manner, while there were less costly providers with whom they were already doing business.  </w:t>
        <w:br/>
        <w:t xml:space="preserve">797. These findings are corroborated by Brenntag's statements that, on the one hand, the two distributors agreed to alternate methanol orders from GKN while jointly setting a supra-competitive price for the customer, and, on the other hand, the fact that the cross-deliveries allowed compensating the party that did not deliver the customer through high-priced deliveries.  </w:t>
        <w:br/>
        <w:t xml:space="preserve">798. Furthermore, the fact that in this case GKN accepted the prices proposed by Brenntag and Chemco is an irrelevant argument regarding the legal qualification of the established practices.  </w:t>
        <w:br/>
        <w:t>799. Finally, Chemco's arguments regarding the existence of residual competition in the methanol supply market, which actually concern the issue of harm caused to the economy, will be addressed in paragraphs 1088 and following of the decision.</w:t>
      </w:r>
    </w:p>
    <w:p>
      <w:r>
        <w:t xml:space="preserve">800. It follows that the established practices had the object of obstructing the free setting of prices and implementing a market allocation, thus violating the provisions of Article L. 420-1 of the Commercial Code.  </w:t>
        <w:br/>
        <w:t xml:space="preserve">b) On the participation of the companies involved  </w:t>
        <w:br/>
        <w:t xml:space="preserve">801. Regarding the standard of proof of a company's participation in a horizontal agreement, it should be recalled that a company must strictly refrain from participating in direct or indirect contacts with its competitors with a view to exchanging information on their commercial policies, particularly regarding the price of goods or services they offer on the market. This type of meeting only calls for one response from the companies: to refuse to participate or, if the good faith of the participant is compromised, to distance themselves immediately and publicly from the anti-competitive mechanism of which the meeting is the support. Participation in even one of these meetings, even if passive, is sufficient to reinforce the mechanism of the agreement: on the one hand, it informs about the commercial behavior that other actors have decided to adopt in the market, whereas the autonomy required by competition among companies assumes that these remain uncertain about their competitors' strategies; on the other hand, it allows more active participants to expect that the absence of opposition from the company in question will not disrupt the collusive game (decision no. 07-D-48 of the Council of December 18, 2007, cited, paragraph 180, confirmed by the ruling of the Paris Court of Appeal of February 25, 2009, cited, p. 9; see also the ruling of the Court of Justice of June 4, 2009, T-Mobile Netherlands e.a./Commission, C-8/08, Rec. p. I-04529, point 60).  </w:t>
        <w:br/>
        <w:t xml:space="preserve">802. In this case, Brenntag's participation in the established practices is evidenced, on the one hand, by its statements made in the context of its leniency application (references 13424 to 13426), and on the other hand, by the indices presented below.  </w:t>
        <w:br/>
        <w:t xml:space="preserve">803. Chemco, on the other hand, has not acknowledged participating in the agreement denounced by Brenntag. However, a set of precise, serious, and consistent indices attests to its participation.  </w:t>
        <w:br/>
        <w:t xml:space="preserve">804. Indeed, it emerges from the Authority's findings that there was a perfect alternation of methanol deliveries between Brenntag and Chemco to the customer GKN between 2000 and March 2007.  </w:t>
        <w:br/>
        <w:t xml:space="preserve">805. Furthermore, to implement this agreement, Brenntag and Chemco coordinated to organize cross-deliveries of methanol, which systematically took place during the order quarters won by each company, so that Brenntag delivered to Chemco when GKN placed an order and vice versa.  </w:t>
        <w:br/>
        <w:t xml:space="preserve">806. Such regularity of delivery between competitors can only be explained by an agreement made between these two companies. The Authority also emphasizes that the investigation services found no other delivery of methanol from Chemco to Brenntag (Maine-Bretagne site) during the period 2000-2004, outside the months during which Chemco delivered to the customer GKN.  </w:t>
        <w:br/>
        <w:t>807. Moreover, the findings made in paragraphs 490 and following of the decision demonstrated that, within the framework of these cross-deliveries, the prices of methanol deliveries made by Chemco to the Brenntag site (Maine-Bretagne site) and vice versa are systematically higher than those of orders placed subsequently and previously with other suppliers, without these findings being justified otherwise than by the conditions of the agreement described in paragraphs 480 and following.</w:t>
      </w:r>
    </w:p>
    <w:p>
      <w:r>
        <w:t xml:space="preserve">808. Finally, it emerges from the invoices sent by Chemco to Brenntag (Maine-Bretagne site) and vice versa, that the delivery address mentioned was that of GKN. Similarly, two invoices sent to Chemco by GMS, a methanol supplier, contain the handwritten mention: "Brenntag→GKN 72" or "Brenntag for GKN." However, as noted by the Authority in paragraph 496 of the decision, this practice of a supplier indicating to a competitor the delivery address of its own customer as well as the final price charged is not customary in the profession.  </w:t>
        <w:br/>
        <w:t xml:space="preserve">809. It follows from all of the above that there is a set of precise, serious, and consistent indices allowing to characterize Chemco's participation in the agreement denounced by Brenntag.  </w:t>
        <w:br/>
        <w:t xml:space="preserve">c) On the duration of the agreement  </w:t>
        <w:br/>
        <w:t xml:space="preserve">810. For a reminder of the applicable principles, reference is made to those set out in paragraphs 740 to 742 above.  </w:t>
        <w:br/>
        <w:t xml:space="preserve">811. Based on Brenntag's statements and the elements collected during the investigation, the Authority found in paragraphs 500 and following of the decision that the alternating deliveries of methanol to the customer GKN by Brenntag and Chemco began in January 2000 and ended in March 2007.  </w:t>
        <w:br/>
        <w:t xml:space="preserve">812. GKN indeed subsequently decided to source from another company, Axe Diffusion, managed by Mr. Alain K..., former project manager of the coordination for Brenntag.  </w:t>
        <w:br/>
        <w:t xml:space="preserve">813. It follows that the agreement between Brenntag and Chemco lasted from January 2000 to March 2007. The duration of the infringement is therefore 7 years and 2 months.  </w:t>
        <w:br/>
        <w:t xml:space="preserve">E. ON THE ATTRIBUTION OF THE PRACTICES IN QUESTION  </w:t>
        <w:br/>
        <w:t xml:space="preserve">1. REMINDER OF THE PRINCIPLES  </w:t>
        <w:br/>
        <w:t xml:space="preserve">814. The notion of a company and the rules of attribution fall under the substantive rules of Union competition law. The interpretation given by the Union courts therefore binds the national competition authority and national courts when applying Articles 101 and 102 TFEU alongside the internal competition rules of the Commercial Code (rulings T-Mobile Netherlands e.a., cited, points 49 and 50, and of the Paris Court of Appeal of March 29, 2012, Lacroix Signalisation e.a., no. 2011/01228, p. 18).  </w:t>
        <w:br/>
        <w:t>815. Although the interpretation given by the Union courts does not bind the national competition authority and national courts when applying Articles L. 420-1 and L. 420-2 of the Commercial Code, the Authority adopts this interpretation to ensure the consistency of its decision-making practice regarding attribution (see decisions no. 11-D-02 of January 26, 2011, concerning practices implemented in the sector of the restoration of historical monuments, paragraph 597, and no. 11-D-13 of October 5, 2011, concerning practices identified in the sectors of electrification works and electrical installation in the Midi-Pyrénées, Languedoc-Roussillon, Auvergne regions and neighboring areas, paragraph 352).</w:t>
      </w:r>
    </w:p>
    <w:p>
      <w:r>
        <w:rPr>
          <w:b/>
        </w:rPr>
        <w:t>[Pages 136–138]</w:t>
      </w:r>
    </w:p>
    <w:p>
      <w:r>
        <w:t xml:space="preserve">a) Attribution within a group of companies  </w:t>
        <w:br/>
        <w:t xml:space="preserve">816. It follows from consistent case law that Articles 101 and 102 TFEU target infringements committed by undertakings.  </w:t>
        <w:br/>
        <w:t xml:space="preserve">817. The Union judge has clarified that the notion of undertaking must be understood as designating an economic unit, even if, from a legal point of view, it is composed of several natural or legal persons (Judgments of the Court of Justice of September 10, 2009, Akzo Nobel e.a./Commission, C-97/08 P, Rec. 2009 p. I-8237, paragraph 55, of March 29, 2011, ArcelorMittal Luxembourg/Commission and Commission/ArcelorMittal Luxembourg e.a., C-201/09 P and C-216/09 P, not yet published in the Recueil, paragraph 95, of September 29, 2011, Elf Aquitaine/Commission, C-521/09 P, not yet published in the Recueil, paragraph 53, and of the Paris Court of Appeal of March 29, 2012, Lacroix Signalisation e.a., No. 2011/01228, p. 18).  </w:t>
        <w:br/>
        <w:t xml:space="preserve">818. It is this economic entity that must, when it infringes competition rules, be held liable for the infringement, in accordance with the principle of personal responsibility (Judgments Akzo Nobel e.a./Commission, cited above, paragraph 56, ArcelorMittal Luxembourg/Commission and Commission/ArcelorMittal Luxembourg e.a., cited above, paragraph 95, Elf Aquitaine/Commission, cited above, paragraph 53, and Lacroix Signalisation e.a., cited above, pp. 18 and 20), on which the Union's competition law is based (Judgment of the Court of Justice of January 20, 2011, General Química e.a./Commission, C-90/09 P, Rec. p. I-1, paragraph 52).  </w:t>
        <w:br/>
        <w:t xml:space="preserve">819. Thus, within a group of companies, the behavior of a subsidiary can be attributed to the parent company, particularly when, despite having a distinct legal personality, this subsidiary does not autonomously determine its behavior in the market, but essentially follows the instructions given to it by the parent company, particularly in light of the economic, organizational, and legal links that unite these two legal entities (Judgments Akzo Nobel e.a./Commission, cited above, paragraph 58, ArcelorMittal Luxembourg/Commission and Commission/ArcelorMittal Luxembourg e.a., cited above, paragraph 96, Elf Aquitaine/Commission, cited above, paragraph 54, and Lacroix Signalisation e.a., cited above, pp. 18 and 19).  </w:t>
        <w:br/>
        <w:t xml:space="preserve">820. In the specific case where a parent company holds, directly or indirectly through an intermediary company, all or nearly all of the capital of its subsidiary that engages in infringing behavior, there is a presumption that this parent company exerts a decisive influence over the behavior of its subsidiary (Judgments of the Court of Justice, Akzo Nobel e.a./Commission, cited above, paragraph 60, General Química e.a./Commission, cited above, paragraphs 2 and 42, of September 29, 2011, Arkema/Commission, C-520/09 P, paragraph 42, and of the Paris Court of Appeal, Lacroix Signalisation e.a., cited above, p. 19).  </w:t>
        <w:br/>
        <w:t xml:space="preserve">821. In this case, it is sufficient for the competition authority to provide evidence of this capital holding to attribute the behavior of the subsidiary that engaged in the practices to the parent company (Judgments Akzo Nobel e.a./Commission, cited above, paragraph 61, Elf Aquitaine/Commission, cited above, paragraph 57, and Lacroix Signalisation e.a., cited above, p. 19).  </w:t>
        <w:br/>
        <w:t xml:space="preserve">822. In this regard, it is not required, to attribute to a parent company the acts committed by its subsidiary, to prove that the parent company was directly involved in the practices or was aware of the incriminated behaviors. As the Union judge points out, "it is not a relationship of instigation regarding the infringement between the parent company and its subsidiary nor, a fortiori, an involvement of the former in the said infringement, but the fact that they constitute a single undertaking within the meaning of Article 101 TFEU that allows the Commission to address the decision imposing fines to the parent company of a group of companies" (Judgments of the Tribunal of December 12, 2007, Akzo Nobel e.a./Commission, T-112/05, Rec. 2007 p. II-5049, paragraph 58, and of October 27, 2010, Alliance One International e.a./Commission, T-24/05, not yet published in the Recueil, paragraph 169).  </w:t>
        <w:br/>
        <w:t xml:space="preserve">823. The parent company can rebut this presumption by providing evidence that demonstrates that its subsidiary autonomously determines its course of action in the market. If the presumption is not rebutted, the competition authority will be able to hold the parent company jointly liable for the payment of the sanction imposed on its subsidiary (Judgments Arkema/Commission, cited above, paragraphs 40 and 41, and Lacroix Signalisation e.a., cited above, p. 20).  </w:t>
        <w:br/>
        <w:t xml:space="preserve">824. In the case where a parent company does not hold, directly or indirectly through an intermediary company, all or nearly all of the capital of its subsidiary that engages in infringing behavior, it is necessary to verify that the parent company actually exerts a decisive influence over the behavior of its subsidiary (Judgment Alliance One International e.a./Commission, cited above, paragraph 126). In such a case, to establish whether a subsidiary does not autonomously determine its behavior in the market, it is appropriate to take into account all relevant elements specific to the circumstances of the case, relating to the economic, organizational, and legal links that unite the subsidiary to the parent company (same judgment, paragraphs 126 and 171).  </w:t>
        <w:br/>
        <w:t xml:space="preserve">b) Attribution in the case of restructurings, transfers, mergers, or others  </w:t>
        <w:br/>
        <w:t xml:space="preserve">825. As follows from consistent case law, when the existence of an infringement is established, it is necessary to determine the natural or legal person who was responsible for the operation of the undertaking in question at the time the infringement was committed, so that they can be held liable for this infringement (see, in particular, Judgments of the Tribunal of December 17, 1991, Enichem Anic/Commission, T-6/89, Rec. p. II-1623, paragraph 236, and of the Court of Cassation of June 23, 2004, BNP Paribas e.a., No. 01-17896 and 02-10066). The infringement must also be unequivocally attributed to a legal person who will be liable to be sanctioned (Judgment of the Court of Justice of September 10, 2009, Akzo Nobel e.a./Commission, C-97/08 P, Rec. p. I-8237, paragraph 57).  </w:t>
        <w:br/>
        <w:t xml:space="preserve">826. As long as the legal person responsible for the operation of the undertaking that engaged in practices infringing competition rules legally exists, it is this person that must be held responsible for these practices. In particular, it continues to be so even if the material and human resources that contributed to the commission of the infringement have been transferred to a third party (Judgment of the Court of Cassation of November 20, 2001, SACER e.a., No. 99-16776 and 99-18253; see also Decision No. 08-D-09 of May 6, 2008, regarding practices implemented in the funeral services sector in Lyon and its agglomeration, paragraph 211, confirmed by Judgment of the Paris Court of Appeal of March 31, 2009, Agence funéraire lyonnaise pompes funèbres Viollet, No. 2008/11353, p. 24).  </w:t>
        <w:br/>
        <w:t xml:space="preserve">827. If this legal person has changed its corporate name or legal form, it nonetheless continues to be liable for the infringement committed (Judgment of the Court of Justice of January 7, 2004, Aalborg Portland e.a./Commission, C-204/00 P, C-205/00 P, C-211/00 P, C-213/00 P, C-217/00 P and C-219/00 P, Rec. p. I-123, paragraph 59; see also Decision No. 01-D-14 of May 4, 2001, regarding practices identified during contracts for the manufacture and implementation of bituminous mixtures on the departmental roads of Isère, p. 20).  </w:t>
        <w:br/>
        <w:t xml:space="preserve">828. Conversely, when the legal person responsible for the operation of the undertaking that committed the practices has ceased to exist legally, it is necessary to determine the legal person that ensures its economic continuity (Judgment Enichem Anic/Commission, cited above, paragraph 237, Judgment of the Tribunal Raiffeisen Zentralbank Österreich/Commission cited above, paragraph 325, and Judgment of the Court of Cassation of June 23, 2004, BNP Paribas e.a., No. 01-17896 and 02-10066).  </w:t>
        <w:br/>
        <w:t xml:space="preserve">829. This is particularly the case when a legal person is absorbed by another. In this case, the practices for which the absorbed company is responsible are attributed to the legal person that has absorbed it (Judgment Raiffeisen Zentralbank Österreich/Commission, cited above, paragraph 326). The same may also apply to the company resulting from the merger between the perpetrator of the practices and another entity.  </w:t>
        <w:br/>
        <w:t xml:space="preserve">830. The judicial recovery of a company that has engaged in anti-competitive practices, as long as it has not ceased to exist legally, does not exempt it from responsibility for the practices for which it must answer even if its assets have been transferred (Decisions No. 06-D-03 bis of March 9, 2006, regarding practices implemented in the heating, sanitary, plumbing, air conditioning sector, paragraph 1382, and No. 10-D-35 of December 15, 2010, regarding practices implemented in the sector of supplying welding electrodes for automobile manufacturers, paragraph 206).  </w:t>
        <w:br/>
        <w:t xml:space="preserve">2. ASSESSMENT IN THE CASE AT HAND  </w:t>
        <w:br/>
        <w:t xml:space="preserve">a) On grievance No. 1  </w:t>
        <w:br/>
        <w:t xml:space="preserve">831. The attribution of grievance No. 1 will be examined successively for the groups Solvadis, Brenntag, Univar, and Caldic Est.  </w:t>
        <w:br/>
        <w:t xml:space="preserve">On the attribution of grievances to Solvadis  </w:t>
        <w:br/>
        <w:t xml:space="preserve">On the evolution of the structure of the Solvadis group  </w:t>
        <w:br/>
        <w:t xml:space="preserve">832. RPC Clément was previously held 51% by Langlois-Chimie and 49% by Solvay SA before January 1, 2001. From that date, Langlois-Chimie held 100% of RPC Clément. On January 1, 2002, Langlois-Chimie was renamed Solvadis. On October 1, 2002, Solvadis took over the distribution activities of its subsidiary RPC Clément under a management lease. On October 10, 2005, Solvadis absorbed RPC Clément.  </w:t>
        <w:br/>
        <w:t>833. Until June 30, 2004, Solvadis was 99.9% owned by Solvadis GmbH, which was itself 100% controlled by MG Handel, which became Solvadis AG in 2000, a wholly-owned subsidiary of MG Chemical Group, which was 100% owned by the parent group MG Technologies AG. After the acquisition of the Solvadis group by the investment fund SSVP on July 1, 2004, Solvadis AG disappeared and its activities were transferred to the acquisition holding Chemdis Ltd, which was itself 100% owned by the investment fund SSVP. In parallel, MG Technologies AG became GEA Group Aktiengesellschaft in 2005 and is no longer active in the chemical commodities distribution sector. In 2006, Solvadis Holding Sarl, a holding company wholly owned by SSVP, succeeded Chemdis Ltd in 2006. Finally, on February 1, 2009, Solvadis GmbH transferred ownership of Solvadis to Solvadis Holding Sarl.</w:t>
      </w:r>
    </w:p>
    <w:p>
      <w:r>
        <w:rPr>
          <w:b/>
        </w:rPr>
        <w:t>[Pages 139–141]</w:t>
      </w:r>
    </w:p>
    <w:p>
      <w:r>
        <w:t>On the attribution of Solvadis' behavior</w:t>
      </w:r>
    </w:p>
    <w:p>
      <w:r>
        <w:t>834. Although no longer engaged in any commercial activity, Solvadis still has legal personality and must therefore be attributed the single, complex, and continuous infringement for the practices it implemented in the "western zone" between October 6, 1998, and October 2003.</w:t>
      </w:r>
    </w:p>
    <w:p>
      <w:r>
        <w:t>835. This same infringement must also be attributed to the companies Solvadis GmbH, Solvadis Holding Sarl, and GEA Group Aktiengesellschaft due to their status as parent companies that exercised a decisive influence on Solvadis' behavior during the period of the commission of the practices.</w:t>
      </w:r>
    </w:p>
    <w:p>
      <w:r>
        <w:t>836. The responsibilities in question are, moreover, not contested by the parties involved.</w:t>
      </w:r>
    </w:p>
    <w:p>
      <w:r>
        <w:t>On the attribution of RPC Clément's behavior</w:t>
      </w:r>
    </w:p>
    <w:p>
      <w:r>
        <w:t>837. It is appropriate to attribute to Solvadis the single, complex, and continuous infringement for the practices that RPC Clément implemented in the "northern zone" between December 17, 1997, and September 2001. This latter company was indeed absorbed by Solvadis on October 10, 2005.</w:t>
      </w:r>
    </w:p>
    <w:p>
      <w:r>
        <w:t>838. This same infringement must also be attributed to the companies Solvadis GmbH, Solvadis Holding Sarl, and GEA Group Aktiengesellschaft due to their status as parent companies that exercised a decisive influence on RPC Clément's behavior during the period of the commission of the practices, but only from January 1, 2001.</w:t>
      </w:r>
    </w:p>
    <w:p>
      <w:r>
        <w:t>839. The responsibilities retained are, moreover, not contested by the parties involved.</w:t>
      </w:r>
    </w:p>
    <w:p>
      <w:r>
        <w:t>On the attribution of practices to Brenntag</w:t>
      </w:r>
    </w:p>
    <w:p>
      <w:r>
        <w:t>On the evolution of the Brenntag group structure</w:t>
      </w:r>
    </w:p>
    <w:p>
      <w:r>
        <w:t>840. Between January 1, 1998, and October 17, 2002, Brenntag SA was 100% owned by Stinnes SA, a wholly-owned subsidiary of Stinnes AG. The latter company was 100% owned by the VEBA group, which became E.ON on June 16, 2000. On June 14, 1999, E.ON conducted the initial public offering of Stinnes AG. On this occasion, its stake in Stinnes AG decreased from 100% to 65.5%. On October 18, 2002, Stinnes AG was acquired 99.71% by Deutsche Bahn AG. On February 6, 2008, Stinnes AG was renamed DB Mobility Logistics AG. It should therefore be noted that the facts concerning E.ON are time-barred.</w:t>
      </w:r>
    </w:p>
    <w:p>
      <w:r>
        <w:t>841. In February 2004, Deutsche Bahn AG sold the Brenntag group to Bain Capital. Brenntag SA then became a 99.9% subsidiary of Brenntag France Holding SAS, a company that absorbed Stinnes SA, which was 100% owned by Brenntag Foreign Holding GmbH, itself a wholly-owned subsidiary of Brenntag Beteiligungs GmbH. The latter company is 100% owned by the holding company of the Brenntag group, Brenntag Holding GmbH &amp; CO KG, which is itself owned by Bain Capital.</w:t>
      </w:r>
    </w:p>
    <w:p>
      <w:r>
        <w:t>842. On September 1, 2006, the BC Partners group acquired the Brenntag group from Bain Capital. Brenntag France Holding SAS then became a 100% subsidiary of Brachem France Holding SAS. On this occasion, BC Partners created two companies: Brenntag Management GmbH and its wholly-owned subsidiary Brenntag Holding GmbH. Shortly after the acquisition, Brenntag Holding GmbH &amp; Co KG merged with Brenntag Holding GmbH, the latter then becoming the legal successor of Brenntag Holding GmbH &amp; Co KG. The parent company of the group is Brenntag Management GmbH, renamed Brenntag AG in 2010.</w:t>
      </w:r>
    </w:p>
    <w:p>
      <w:r>
        <w:t>843. The company Marce was owned by Bernard 35... at 66% and the remainder by the company Ciron. On October 12, 2001, the company Marce was fully acquired by Brenntag SA, which, on November 24, 2003, proceeded with the dissolution-confusion of this company.</w:t>
      </w:r>
    </w:p>
    <w:p>
      <w:r>
        <w:t>On the attribution of Brenntag SA's practices to DB Mobility Logistics AG and Deutsche Bahn AG</w:t>
      </w:r>
    </w:p>
    <w:p>
      <w:r>
        <w:t>♦ On the attribution of Brenntag SA's practices to Deutsche Bahn AG</w:t>
      </w:r>
    </w:p>
    <w:p>
      <w:r>
        <w:t>844. It should be noted that Deutsche Bahn AG demonstrates that it acquired Stinnes AG on October 18, 2002, solely for its transport and logistics activities and intended, from the outset, to sell Stinnes SA on the grounds that the activity of this company did not correspond to that on which it primarily operated (see, in particular, the letter from the German federal authorities on this matter and the joint statement of the executive board and supervisory board of Stinnes AG regarding the public takeover bid from Deutsche Bahn AG, dated August 21, 2002, references 42542 and 42514). As mentioned above, this sale indeed took place in February 2004.</w:t>
      </w:r>
    </w:p>
    <w:p>
      <w:r>
        <w:t>845. It also demonstrates that this intention, clearly stated from the beginning and throughout the entire holding of this entity, was effectively reflected in the absence of any initiative aimed at allowing it to exercise any real influence over it. Stinnes SA was thus excluded from the consolidation perimeter of Deutsche Bahn AG as early as 2003 in view of its sale (references 42557, 42573, and 42574). This exclusion results from the international accounting standard IAS 27, applicable at the time, which states that "[a] subsidiary must be excluded from consolidation when: (...) control is intended to be temporary because the subsidiary is acquired and held solely with a view to its subsequent exit in the near future" (consolidated financial statements and accounting for interests in subsidiaries, revised in 2000). This exclusion motivated by a desire for quick resale was combined, as Deutsche Bahn AG rightly points out, with an absence of common corporate representatives in the respective governance bodies, Deutsche Bahn AG never having intervened directly or indirectly in the appointment of any executive, director, or other representative of Brenntag SA, on the one hand, and never having participated in any management committee of Brenntag SA, on the other hand.</w:t>
      </w:r>
    </w:p>
    <w:p>
      <w:r>
        <w:t>846. These elements, taken in their entirety, are in the particular circumstances of this case sufficient to overturn the presumption of attribution weighing on Deutsche Bahn AG.</w:t>
      </w:r>
    </w:p>
    <w:p>
      <w:r>
        <w:t>♦ On the attribution of Brenntag SA's practices to DB Mobility Logistics</w:t>
      </w:r>
    </w:p>
    <w:p>
      <w:r>
        <w:t>847. In order to demonstrate the absence of exercise of decisive influence over Brenntag SA, DB Mobility Logistics, formerly Stinnes AG, argues, first of all, that it acted only as a holding company for participations. It indicates in this regard that Brenntag AG acted as the parent company based on functional links. It puts forward statements from executive members made during the proceedings, designating Brenntag AG as the parent company.</w:t>
      </w:r>
    </w:p>
    <w:p>
      <w:r>
        <w:t>848. However, the fact that a parent company behaves only as a holding company for participations is not sufficient to overturn the presumption of attribution, because "even assuming that the applicants were only non-operational holdings, this circumstance alone would not be sufficient to exclude that they exercised a decisive influence over Arkema, particularly by coordinating financial investments within the group. Indeed, in the context of a group of companies, a holding company is a company intended to group participations in various companies and whose function is to ensure their unified direction (see, in this sense, judgment of the Court of October 8, 2008, Schunk and Schunk Kohlenstoff-Technik/Commission, T-69/04, Rec. p. II-2567, paragraph 63)" (judgment of the Court of the European Union of July 14, 2011, Total and Elf Aquitaine/Commission, T-190/06, not yet published in the Recueil, paragraph 68). Furthermore, mere statements from executive members designating another company as the parent company would not be sufficient to overturn a presumption based on the ownership of all or nearly all of the capital of its subsidiary.</w:t>
      </w:r>
    </w:p>
    <w:p>
      <w:r>
        <w:t>849. DBML further notes, secondly, that no member of the executive board of Stinnes AG was simultaneously a member of a governance body of Brenntag SA or Stinnes SA, except for Mr. H.</w:t>
      </w:r>
    </w:p>
    <w:p>
      <w:r>
        <w:t>850. This argument cannot, in itself, overturn the presumption. Indeed, the absence of overlap of executives between the parent company and the subsidiary does not constitute a sufficient indication to demonstrate the autonomy of the subsidiary (judgment of the Court of the European Union of July 14, 2011, Total and Elf Aquitaine/Commission, cited above, paragraph 65).</w:t>
      </w:r>
    </w:p>
    <w:p>
      <w:r>
        <w:t>851. Thirdly and finally, Brenntag SA would have benefited, as well as its local sites, from complete autonomy in determining their strategy and managing their activity. In this regard, DBML claims not to have been active in the same market as Brenntag SA, not to have participated in the development and control of the strategic orientations and commercial policy of Brenntag SA, and finally not to have received detailed reports from Brenntag SA on the exercise of its activity.</w:t>
      </w:r>
    </w:p>
    <w:p>
      <w:r>
        <w:t>852. It must be noted that these elements, for which no material evidence has been provided, are insufficient to overturn the presumption of attribution. Indeed, the circumstance that the parent company and its subsidiary are active in distinct markets is not relevant (judgment of the Court of July 14, 2011, Total and Elf Aquitaine/Commission, cited above, paragraph 71). Furthermore, since this is not a relationship of instigation regarding the infringement between the parent company and its subsidiary, it is irrelevant whether the parent company did not encourage its subsidiary to commit an infringement or whether it was not directly involved in such an infringement (judgments of the Court of April 30, 2009, Itochu/Commission, T-12/03, Rec. p. II-909, paragraph 58, and of October 27, 2010, Alliance One International e.a./Commission, T-24/05, Rec. 2010 p. II-5329, paragraph 127, and decision No. 12-D-10 of March 20, 2012, regarding practices implemented in the dog and cat food sector, paragraphs 225 to 232).</w:t>
      </w:r>
    </w:p>
    <w:p>
      <w:r>
        <w:t>853. It is therefore appropriate to hold DB Mobility Logistics jointly and severally liable for the payment of the sanction imposed on Brenntag SA from January 1, 1998, to February 2004.</w:t>
      </w:r>
    </w:p>
    <w:p>
      <w:r>
        <w:t>♦ On the attribution of Brenntag SA's practices to Brenntag France Holding SAS, Brenntag Foreign Holding GmbH, Brenntag Beteiligungs GmbH, and Brenntag Holding GmbH</w:t>
      </w:r>
    </w:p>
    <w:p>
      <w:r>
        <w:t>854. It is appropriate to attribute to Brenntag SA the single, complex, and continuous infringement for the practices it implemented:</w:t>
        <w:br/>
        <w:t>- in the "northern zone" from December 17, 1997, to September 2001;</w:t>
        <w:br/>
        <w:t>- in the "Burgundy zone" from June 5, 1998, to June 2003;</w:t>
        <w:br/>
        <w:t>- in the "Rhône-Alpes zone" from September 1998 to June 2005;</w:t>
      </w:r>
    </w:p>
    <w:p>
      <w:r>
        <w:rPr>
          <w:b/>
        </w:rPr>
        <w:t>[Pages 142–144]</w:t>
      </w:r>
    </w:p>
    <w:p>
      <w:r>
        <w:t>exemption totale ou partielle de sanctions pécuniaires à l’entreprise ou à l’organisme concerné.</w:t>
      </w:r>
    </w:p>
    <w:p>
      <w:r>
        <w:t>883. En outre, l’Autorité peut, dans le cadre de la détermination des sanctions, tenir compte de la coopération de l’entreprise ou de l’organisme avec l’enquête, ainsi que de la mise en œuvre de mesures correctives pour mettre fin aux pratiques anticoncurrentielles.</w:t>
      </w:r>
    </w:p>
    <w:p>
      <w:r>
        <w:t>884. Les sanctions pécuniaires doivent être suffisamment dissuasives pour prévenir la répétition de telles pratiques à l’avenir et pour garantir le respect des règles de concurrence.</w:t>
      </w:r>
    </w:p>
    <w:p>
      <w:r>
        <w:t>885. En conclusion, les entreprises et organismes concernés par les pratiques anticoncurrentielles seront soumis à des sanctions pécuniaires proportionnées à la gravité de leurs infractions, conformément aux dispositions légales en vigueur.</w:t>
      </w:r>
    </w:p>
    <w:p>
      <w:r>
        <w:rPr>
          <w:b/>
        </w:rPr>
        <w:t>[Pages 145–147]</w:t>
      </w:r>
    </w:p>
    <w:p>
      <w:r>
        <w:t>exemption from financial penalties proportional to the contribution made to the establishment of the infringement".</w:t>
      </w:r>
    </w:p>
    <w:p>
      <w:r>
        <w:t>883. Finally, III of Article L. 464-2 of the Commercial Code, in its version resulting from the same law, states that, "[w]hen an organization or a company does not contest the reality of the grievances that have been notified to it, the general rapporteur may propose to the Competition Authority, which hears the parties and the Government Commissioner without prior establishment of a report, to impose the financial penalty provided for in I, taking into account the absence of contestation. In this case, the maximum amount of the penalty incurred is reduced by half. When the company or organization also commits to modifying its behavior for the future, the general rapporteur may propose to the Competition Authority to take this into account as well in determining the amount of the penalty."</w:t>
      </w:r>
    </w:p>
    <w:p>
      <w:r>
        <w:t>884. In this case, the Authority will assess the legal criteria set out in I of Article L. 464-2 of the Commercial Code according to the practical modalities described in its press release of May 16, 2011, regarding the method for determining financial penalties.</w:t>
      </w:r>
    </w:p>
    <w:p>
      <w:r>
        <w:t>885. Each of the companies involved in this case has been given the opportunity to make observations on the main elements of law and fact in the file that could, according to the investigation services, influence the determination of the penalty that may be imposed on it. The presentation of these various elements by the investigation services of the Authority does not prejudge the assessment of the college on the determinants of the penalty, which is solely within its deliberation.</w:t>
      </w:r>
    </w:p>
    <w:p>
      <w:r>
        <w:t>886. It should be noted, in this regard, that the Authority may impose multiple penalties on each company or organization involved in the event that the interested party has committed multiple infringements (judgment of the Court of Cassation of June 29, 2007, Bouygues Télécom e.a., no. 07-10303, 07-10354 and 07-10397), as is the case here, determining each of them based on the criteria provided by the Commercial Code (see, in this sense, judgment of the Court of Cassation of July 12, 2011, Lafarge e.a., no. 10-17482 and 10-17791) and verifying that none of them exceeds the applicable legal maximum.</w:t>
      </w:r>
    </w:p>
    <w:p>
      <w:r>
        <w:t>887. In this case, the practices covered by the two grievances aimed to stabilize market shares and increase the margins of distributors through customer allocations or price coordination. However, the incriminated practices are very different. The practice related to grievance no. 1 concerned the main distributors of chemical commodities in four major French regions with respect to all clients and for a large number of commodities. In contrast, the agreement referred to in grievance no. 2 only concerned the trading of methanol with respect to a single client. Furthermore, the periods covered by the practices are also different: from December 1997 to June 2005 for grievance no. 1, from January 2000 to February 2007 for grievance no. 2.</w:t>
      </w:r>
    </w:p>
    <w:p>
      <w:r>
        <w:t>888. For these reasons, the Authority will separately sanction the complex and continuous infringement implemented in the chemical commodities sector (grievance no. 1) and the agreement concerning the trading of methanol with client GKN (grievance no. 2).</w:t>
      </w:r>
    </w:p>
    <w:p>
      <w:r>
        <w:t>1. ON THE SANCTIONS IMPOSED UNDER GRIEVANCE NO. 1</w:t>
        <w:br/>
        <w:t>a) On the value of sales</w:t>
      </w:r>
    </w:p>
    <w:p>
      <w:r>
        <w:t>889. The value of sales of all categories of products related to the infringement made by each of the companies involved, during its last complete accounting year of participation in this infringement, may be usefully retained as the basis for their respective sanction. Certainly, the Commercial Code, by not referring to the turnover related to the sector or market in question, but only to the consolidated or combined global turnover, does not require the Authority to proceed in this manner (judgment of the Court of Cassation of May 13, 1997, Société française de transports Gondrand frères, no. 95-16378). Nevertheless, this parameter generally constitutes an appropriate and objective reference allowing for the case-by-case proportionality of the basis of the sanction to the economic reality of the infringement in question, and more specifically to its magnitude as well as the relative weight on the concerned sector of each of the companies that participated (see, in this sense, judgment of the Paris Court of Appeal of October 11, 2012, Entreprise H. Chevalier Nord e.a., no. 2011/03298, p. 72; see also judgment of the Paris Court of Appeal of March 29, 2012, Lacroix Signalisation e.a., no. 2011/01228, pp. 37 and 38), as also evidenced by the consistent case law of the Union courts (judgments of the Court of Justice of June 7, 1983, Musique diffusion française/Commission, 100/80, Rec. p. 1825, points 119 to 121, of September 3, 2009, Papierfabrik August Koehler e.a./Commission, C-322/07 P, C-327/07 P and C-338/07 P, Rec. p. I-7191, point 114). This case law, even if it does not specifically target the determination of sanctions by the French Authority in cases of violations of Articles L. 420-1 and L. 420-2 of the Commercial Code and 101 and 102 of the TFEU, nonetheless constitutes a useful reference for the concrete exercise of the discretionary power that it holds in this matter, within the framework provided by I of Article L. 464-2 of the Commercial Code and in compliance with general principles of law.</w:t>
      </w:r>
    </w:p>
    <w:p>
      <w:r>
        <w:t>890. The Authority has therefore committed to determining the base amount of the sanctions it imposes by referring to this notion as the basis, whether Union law is applicable in parallel to domestic law or whether the latter is solely at stake, in order to ensure the consistency of its decision-making practice regarding sanctions (see decision no. 12-D-02 of January 12, 2012, regarding practices implemented in the leisure, culture, and tourism engineering sector, paragraph 164).</w:t>
      </w:r>
    </w:p>
    <w:p>
      <w:r>
        <w:t>891. Regarding, first of all, the categories of products to be considered, the Authority believes that it is appropriate to retain, in accordance with the analysis of the practices presented in the part of the decision dedicated to their legal qualification (paragraphs 630 and following above), the sales of chemical commodities from the depots, excluding direct sales (also called sales at arm's length), it being specified that all categories of chemical commodities are taken into account.</w:t>
      </w:r>
    </w:p>
    <w:p>
      <w:r>
        <w:t>892. For each of the companies involved, the Authority will therefore retain the sum of the values of sales of chemical commodities made by the depots located in each of the four major regions concerned by the complex and continuous infringement for the last complete year of the company's participation in this infringement, it being specified that all clients in the considered area are taken into account.</w:t>
      </w:r>
    </w:p>
    <w:p>
      <w:r>
        <w:t>893. Regarding Brenntag SA, it has been demonstrated in paragraphs 779 and following that it participated in the complex and continuous infringement from December 17, 1997, to May 31, 2005. Its last complete year of participation in the infringement, which will serve as the reference year, is therefore the year 2004. Furthermore, the depots of Torcy (Burgundy region), Wattrelos (northern region), Grèze-en-Bouère and Saint-Herblain (western region), Andance and Chassieu (Rhône-Alpes region) are concerned.</w:t>
      </w:r>
    </w:p>
    <w:p>
      <w:r>
        <w:t>894. However, in order to take into account the different durations of implementation of the practice in the four regions, and notably due to the fact that in 2004 this complex and continuous infringement was no longer implemented in all the regions concerned, the total amount of sales retained will be reduced flatly by 25%.</w:t>
      </w:r>
    </w:p>
    <w:p>
      <w:r>
        <w:t>895. Given the numerical data available to the Authority, the total value of sales of chemical commodities made by the concerned depots in 2004 is 76,499,000 euros. Taking into account the previously mentioned 25% reduction, the value retained as the basis for the sanction will therefore be limited to 57,374,250 euros.</w:t>
      </w:r>
    </w:p>
    <w:p>
      <w:r>
        <w:t>896. Regarding Caldic Est, it has been demonstrated in paragraph 787 that it participated in the practice from June 5, 1998, to May 31, 2003. Its last complete year of participation in the infringement is therefore the year 2002. Furthermore, only the depot of Brazey-en-Plaine is concerned (Burgundy region). It should be noted, however, that Caldic Est was not able to provide the Authority with turnover figures regarding the Brazey-en-Plaine site before 2005. The Authority will therefore retain as the value of sales serving as the basis for the sanction of Caldic Est the value of sales of commodities (excluding direct sales) from the Brazey-en-Plaine site during the year 2005. This year is indeed the closest year to those concerned by the practice for which Caldic Est was able to provide reliable numerical data to the Authority.</w:t>
      </w:r>
    </w:p>
    <w:p>
      <w:r>
        <w:t>897. The total value of sales of chemical commodities made by the concerned depot in 2005 is 2,828,469 euros.</w:t>
      </w:r>
    </w:p>
    <w:p>
      <w:r>
        <w:t>898. Regarding Solvadis, it has been demonstrated in paragraph 778 that it participated in the complex and continuous infringement from December 17, 1997, to September 30, 2003. The reference year is therefore the year 2002 for it. Furthermore, the sales from the depots of Lomme (northern region) and Rennes (western region) are concerned.</w:t>
      </w:r>
    </w:p>
    <w:p>
      <w:r>
        <w:t>899. Since Solvadis participated in the practice in two regions for different durations, a 25% reduction will also be applied to it to proportion the basis of its sanction to the reality of this infringement.</w:t>
      </w:r>
    </w:p>
    <w:p>
      <w:r>
        <w:t>900. Given the numerical data available to the Authority, the total value of sales of chemical commodities made by the concerned depots in 2002 is 26,568,587 euros. Taking into account the previously mentioned 25% reduction, the value of sales retained as the basis for the sanction will therefore be 19,926,440 euros.</w:t>
      </w:r>
    </w:p>
    <w:p>
      <w:r>
        <w:t>901. Regarding Univar SAS, it has been demonstrated in paragraph 786 that it participated in the complex and continuous infringement from September 30, 1998, to May 31, 2005. The reference year is therefore the year 2004 for it. Furthermore, the sales from the depots of Carquefou (western region), Genas, Genay, and Pierre-Bénite (Rhône-Alpes region) are concerned.</w:t>
      </w:r>
    </w:p>
    <w:p>
      <w:r>
        <w:t>902. Univar SAS having participated in the practice in two regions for different durations, a 25% reduction will also be applied to it to proportion the basis of its sanction to the reality of the infringement.</w:t>
      </w:r>
    </w:p>
    <w:p>
      <w:r>
        <w:t>903. Given the numerical data available to the Authority, the total value of sales of chemical commodities made by the concerned depots in 2004 is 33,790,000 euros. Taking into account the 25% reduction, the value of sales retained as the basis for the sanction will therefore be 25,342,500 euros.</w:t>
      </w:r>
    </w:p>
    <w:p>
      <w:r>
        <w:t>904. In light of the preceding considerations, the table below summarizes the values of sales on which the individual sanction of each of the companies involved will be based:</w:t>
      </w:r>
    </w:p>
    <w:p>
      <w:r>
        <w:rPr>
          <w:b/>
        </w:rPr>
        <w:t>[Pages 148–150]</w:t>
      </w:r>
    </w:p>
    <w:p>
      <w:r>
        <w:t xml:space="preserve">Company Sales Value  </w:t>
        <w:br/>
        <w:t xml:space="preserve">Brenntag 57,374,250 euros  </w:t>
        <w:br/>
        <w:t xml:space="preserve">Caldic Est 2,828,469 euros  </w:t>
        <w:br/>
        <w:t xml:space="preserve">Solvadis 19,926,440 euros  </w:t>
        <w:br/>
        <w:t>Univar 25,342,500 euros</w:t>
      </w:r>
    </w:p>
    <w:p>
      <w:r>
        <w:t xml:space="preserve">b) On the determination of the base amount  </w:t>
        <w:br/>
        <w:t xml:space="preserve">905. In accordance with I of Article L. 464-2 of the Commercial Code, the base amount of the sanction imposed on each of the companies involved will be determined based on the severity of the facts and the significance of the damage caused to the economy, criteria that both relate to the observed practice. The Authority's assessments in this regard will find a numerical translation in the choice of a proportion of the sales value retained for each company involved, a process which, as previously indicated, will allow for the sanction's base to be proportionate to the economic reality of the infringement, on the one hand, and to the relative weight in the affected sector of each of the participants, on the other hand. Under established case law, the Authority will carry out a global assessment of both the significance of the damage caused to the economy and the severity of the facts, before taking into account, in a personalized manner, the situation of each company (judgment of the Paris Court of Appeal of October 11, 2012, cited above, p. 68).  </w:t>
        <w:br/>
        <w:t xml:space="preserve">906. The overall duration of the complex and continuous infringement in this case, which constitutes a relevant factor for assessing both the severity of the facts (judgment of the Court of Cassation of May 30, 2012, Orange France, no. 11-22144) and the significance of the damage caused to the economy (judgment of the Court of Cassation of July 12, 2011, Lafarge ciments e.a., no. 10-17482 and 10-17791), will be taken into account from this dual perspective according to the practical modalities described in the press release of May 16, 2011, cited above.  </w:t>
        <w:br/>
        <w:t>907. The variations in the duration of participation observed, in the case of some of the companies involved, between certain regional agreements related to this complex and continuous infringement have already been taken into consideration at the stage of determining the sales value serving as the respective base for their sanction.</w:t>
      </w:r>
    </w:p>
    <w:p>
      <w:r>
        <w:t xml:space="preserve">On the proportion of the sales value  </w:t>
        <w:br/>
        <w:t xml:space="preserve">On the severity of the facts  </w:t>
        <w:br/>
        <w:t xml:space="preserve">908. The companies involved implemented a unique, complex, and continuous infringement aimed at allowing them to stabilize their market shares and increase their margins through customer allocations and concerted price increases.  </w:t>
        <w:br/>
        <w:t xml:space="preserve">909. This infringement constitutes a horizontal agreement between competitors whose purpose is both to allocate customers among the companies and to jointly set the price of the products concerned, instead of leaving these parameters to the free discretion of each of the companies, within the framework of an autonomous determination of their commercial policy and competition based solely on the merits of each company.  </w:t>
        <w:br/>
        <w:t xml:space="preserve">910. The infringement in question therefore aimed, by its very nature, to manipulate two essential parameters of competition in the targeted sector. Such a practice is classified as a cartel or "unjustifiable" agreement by the OECD in its recommendation no. C(98)35/Final of March 25, 1998, regarding effective action against unjustifiable agreements. It constitutes one of the most serious infringements of competition rules, as it can only aim to confiscate, for the benefit of the authors of the infringement, the profit that downstream operators in the value chain and consumers – in this case, industrial clients purchasing chemical commodities – are entitled to expect from a competitive functioning of the economy. This practice is all the more serious in this case as it simultaneously concerned several key parameters of the competitive game.  </w:t>
        <w:br/>
        <w:t xml:space="preserve">911. This assessment is shared both by the judges of the Union, who consider that a horizontal agreement, particularly when it aims to set prices at an artificially high level, constitutes a very serious infringement (judgment of the Court of Justice of September 24, 2009, Erste Gruppe Bank e.a./Commission, C-125/07 P, C-133/07 P, C-135/07 P and C-137/07 P, Rec. p. I-8681, point 103), and by the national judge. The Paris Court of Appeal recalled in its judgments of April 24, 2007, JH Industrie e.a. (no. 2006/06912, p. 6), and February 25, 2009, Société Transeuro Desbordes Worldwide Relocations e.a. (no. 2008/02003, p. 12), that, "as for the severity of the price-fixing agreement, the Council rightly recalled that agreements or concerted actions aimed at preventing the play of competition by obstructing the free setting of prices by the market are among those considered unjustifiable by the OECD in its recommendation of March 25, 1998, that they cause serious harm to the functioning of the market and therefore to the benefits that consumers can expect from it, regardless of whether some of the victim clients of the practices have significant market power (...)".  </w:t>
        <w:br/>
        <w:t xml:space="preserve">912. Brenntag, DB, and DBML argue that the severity of the infringement should be assessed according to each of the areas in which it was implemented. This argument cannot prosper as the practice constitutes a single, complex, and continuous infringement that fits into an overall plan pursuing a single anti-competitive objective, as demonstrated in paragraphs 631 and following of the decision.  </w:t>
        <w:br/>
        <w:t xml:space="preserve">913. Brenntag also argues that it should be taken into account that the infringement did not cover the entire national territory and concerned a limited number of clients. However, this element has already been taken into account, as indicated in paragraph 892 above, by the fact that the sales value retained as the base for its sanction only covers the four major regions affected by the unique, complex, and continuous infringement, and not all of its sales in France. Furthermore, it has been demonstrated in paragraphs 141 and following, 222 and following, 309 and following, and 360 and following above that the agreement in question for stabilizing market shares and allocating customers only makes sense if it concerns all customers in the considered area.  </w:t>
        <w:br/>
        <w:t xml:space="preserve">914. Moreover, this infringement is all the more serious as it had a secret character, an element that made it particularly difficult to detect and, to some extent, reflected its deliberate nature.  </w:t>
        <w:br/>
        <w:t xml:space="preserve">915. In this regard, it has been established that, through their combined action, the authors of the infringement deployed means to ensure increased confidentiality of the anti-competitive agreements concluded among them. Thus, the Authority noted in paragraphs 228 and 639 of the decision that representatives of Brenntag and Univar had used dedicated phone lines to organize the agreement. It was noted, on the one hand, that Univar used a mobile phone outside of the company's fleet (reference 413, 06/0092 AC) and, on the other hand, that Brenntag acknowledged that Olivier Z... had his secretary subscribe to a personal phone plan to organize the agreement in the Rhône-Alpes area (references 13855 to 13864).  </w:t>
        <w:br/>
        <w:t xml:space="preserve">916. Finally, other concrete characteristics of the infringement are still likely to increase its severity in this case. In particular, although no institutionalized mechanism of retaliation, reprisals, or sanctions has been observed, many elements of the file demonstrate the existence of effective market monitoring by the members of the agreement to ensure that the agreed-upon arrangements were indeed respected.  </w:t>
        <w:br/>
        <w:t xml:space="preserve">917. Brenntag alleges that, insofar as the monitoring mechanisms were not effective, they could not be considered as reinforcing the severity of the infringement. Furthermore, the gradual cessation of the agreement in the different areas would demonstrate that the participants in it feared no reprisals or retaliation.  </w:t>
        <w:br/>
        <w:t xml:space="preserve">918. In this regard, it has, however, been found that Brenntag ensured the monitoring of the practice in the northern areas (paragraphs 688 and following), Rhône-Alpes (paragraphs 690 and following), Burgundy (paragraph 692), and to a lesser extent the west (paragraphs 658 and 693), notably through checks with certain clients, and by reminding its competitors of the necessity to respect the decisions made in common.  </w:t>
        <w:br/>
        <w:t xml:space="preserve">919. Furthermore, it has been demonstrated in paragraph 234 that Brenntag recognized the necessity of organizing regular meetings and phone contacts to verify the proper functioning of the agreement, and more particularly, the preservation of the volumes and market shares of each of the participants.  </w:t>
        <w:br/>
        <w:t xml:space="preserve">920. Moreover, the Authority noted in paragraphs 232 and following and 374 that Univar also exercised monitoring of the practice in the Rhône-Alpes (references 11143 to 11144) and west (reference 415, 06/00092 AC) areas.  </w:t>
        <w:br/>
        <w:t xml:space="preserve">921. It should be emphasized more broadly that such a monitoring system, established notably by Brenntag, the company that took the most active part in the infringement and had the greatest market power, could have raised fears of reprisals in the event of deviations from the agreements concluded.  </w:t>
        <w:br/>
        <w:t>922. All of these elements confirm that the monitoring system established in this case was likely to reinforce the severity of the practice, even if it did not reach the same degree of sophistication as a developed system of retaliation.</w:t>
      </w:r>
    </w:p>
    <w:p>
      <w:r>
        <w:t xml:space="preserve">On the significance of the damage caused to the economy  </w:t>
        <w:br/>
        <w:t xml:space="preserve">923. It is established case law that, just as the severity of the facts, the significance of the damage caused to the economy is assessed globally for the practice in question, that is to say, in light of the cumulative action of all participants, without the need to identify the share attributable to each of them taken separately (judgments of the Court of Cassation of February 18, 2004, CERP e.a., no. 02-11754, and of the Paris Court of Appeal of September 17, 2008, Agricultural Cooperative L’ardéchoise, no. 2007/10371, p. 6).  </w:t>
        <w:br/>
        <w:t xml:space="preserve">924. This legal criterion does not coincide with the harm that the victims of the practice may have suffered, but is assessed based on the general disruption that the practice in question is likely to generate for the economy (see, for example, judgment of the Paris Court of Appeal of October 8, 2008, SNEF, no. 2007/18040, p. 4).  </w:t>
        <w:br/>
        <w:t>925. The Authority, which is not required to precisely quantify the damage caused to the economy, must carry out an assessment of its existence and significance, based on as complete an analysis as possible of the elements of the file and by examining the various aspects of the general disruption of the normal functioning of the economy.</w:t>
      </w:r>
    </w:p>
    <w:p>
      <w:r>
        <w:rPr>
          <w:b/>
        </w:rPr>
        <w:t>[Pages 151–153]</w:t>
      </w:r>
    </w:p>
    <w:p>
      <w:r>
        <w:t xml:space="preserve">engendered by the practice in question (rulings of the Paris Court of Appeal of June 30, 2011, Orange France, no. 2010/12049, p. 5, confirmed on appeal by the ruling of the Court of Cassation of May 30, 2012, cited above, and of January 26, 2012, Beauté Prestige International et al., no. 2012/23945, p. 89). The existence of damage to the economy cannot therefore be presumed (ruling of the Court of Cassation of April 7, 2010, Orange France et al., no. 09-12984, 09-13163 and 09-65940). </w:t>
        <w:br/>
        <w:t xml:space="preserve">926. Based on established case law, the Authority takes into account, in assessing the economic impact of the practice in question, the extent of the infringement, characterized, among other things, by its geographical coverage or by the cumulative market share of the participants in the relevant sector or market, its duration, its conjunctural or structural consequences, as well as the relevant economic characteristics of the sector or market concerned (see, for example, rulings of the Paris Court of Appeal of June 30, 2011, cited above, p. 5 and of January 26, 2012, cited above, p. 89; see also, in this sense, ruling of the Court of Cassation of May 30, 2012, cited above). Both the observed and potential effects of the practice may be taken into consideration in this regard (see, in this sense, ruling of the Court of Cassation of June 28, 2005, Novartis Pharma, no. 04-13910). </w:t>
        <w:br/>
        <w:t xml:space="preserve">927. To assess the importance of the damage caused to the economy, the Authority may rely on estimates regarding the direct consequences of the practice, when they are observable, particularly concerning the overpricing they may have generated (see, in this sense, ruling of the Paris Court of Appeal of January 26, 2010, Adecco France et al., no. 2009/03532, p. 17). These estimates are, like any estimate, affected by a coefficient of uncertainty; they may nevertheless be taken into consideration if they are based on a scientifically recognized method, which takes into account the potential influence of other explanatory factors of the provided estimate (see, in this sense, ruling of the Court of Cassation of July 12, 2011, Lafarge ciments et al., no. 10-17482 and 10-17791). </w:t>
        <w:br/>
        <w:t xml:space="preserve">♦ On the extent of the practice </w:t>
        <w:br/>
        <w:t xml:space="preserve">928. This practice concerned a significant share of the national market since it was implemented in four major regions covering 34 departments. With the exception of Île-de-France, the vast majority of the major industrial basins in France were affected by the practice. </w:t>
        <w:br/>
        <w:t xml:space="preserve">929. Furthermore, the practice was implemented by the main distributors of chemical commodities. Indeed, the companies involved represented at the time the majority of sales of chemical commodities at the national level. Their cumulative market share amounted, in particular, to over 80% in 2004. Moreover, in the regions affected by the infringement, the companies involved represented almost the entire distribution supply of chemical commodities. </w:t>
        <w:br/>
        <w:t xml:space="preserve">♦ On the objective economic characteristics of the relevant sector </w:t>
        <w:br/>
        <w:t xml:space="preserve">930. Secondly, in order to assess the importance of the damage caused to the economy, the Authority focuses on taking into account the objective economic characteristics of the sector in question, to the extent that these are likely to influence the conjunctural or structural consequences of the practice. </w:t>
        <w:br/>
        <w:t xml:space="preserve">931. In this regard, the sector of chemical commodity distribution is characterized by strong barriers to entry, as confirmed by the companies involved themselves. Indeed, in addition to the fixed costs of constructing a site, the storage of chemical products is subject to very stringent regulatory oversight due to the hazardous nature of these products. In order to comply with the new safety standards established notably by the European Union, distributors present in the market have been forced to make heavy investments to adapt their storage sites. Those who did not have the financial means to do so were either acquired or closed the affected sites. Any new entrant would also have to make heavy investments to purchase an existing depot or create one. In the latter case, the difficulties are even greater as public authorities may be reluctant to authorize the opening of a hazardous products site. In this regard, it should be noted that no new player has entered the market in the last twenty years. </w:t>
        <w:br/>
        <w:t xml:space="preserve">932. Brenntag and Univar argue that despite these barriers to entry, the prices of the companies involved remained constrained by the existence of alternative sources of supply insofar as customers could source directly from suppliers (direct sales) or from other regions where the practice was not implemented. However, the interest of chemical commodity distributors is to allow buyers to procure "small" volumes (rather than full truckloads from the commodity producer) and not to need to store excessively large volumes of hazardous materials on their own sites, making direct sales not appear as a credible substitute for buyers. </w:t>
        <w:br/>
        <w:t xml:space="preserve">933. Furthermore, while it cannot be ruled out that, in the event of a significant price increase across all depots in a region, some customers might consider sourcing from another region, it remains that this possibility seems to concern only customers located sufficiently close to a distributor not affected by the practice. While this argument may thus temper the importance of the damage caused to the economy, it does not in any way allow for the consideration that the characteristics of the sector would be such that they would render the practice not harmful to the economy. </w:t>
        <w:br/>
        <w:t xml:space="preserve">934. Finally, account must be taken of the sensitivity of consumer demand to price, or price elasticity (ruling of the Court of Cassation of April 7, 2010, cited above). In this case, in a large number of situations, an industrialist needs a particular chemical commodity in their manufacturing process and cannot substitute it with another. Moreover, for a given level of production, an industrialist generally cannot reduce their needs for chemical commodities in order to limit the impact of price increases of commodities on their production costs. Thus, it appears that the demand for chemical commodities is relatively insensitive to price variations (low price elasticity). The practice was therefore all the more likely to create significant damage to the economy. </w:t>
        <w:br/>
        <w:t xml:space="preserve">♦ On the conjunctural and structural consequences of the practice </w:t>
        <w:br/>
        <w:t xml:space="preserve">935. Univar provided, in support of its observations on the report, an econometric study aimed at evaluating the actual effects of the practice on the margins of its depots located in the regions where it was implemented (i.e., in the western regions and Rhône-Alpes). </w:t>
        <w:br/>
        <w:t xml:space="preserve">936. The econometric study, based on all billing lines of Univar's depots between 1998 and 2009, allows for a comparison of the evolution of margins in the depots located in the regions where the practice was implemented with the evolution observed for other Univar depots (notably those in Île-de-France and the South-East region). This so-called "difference-in-differences" method allows for taking into account variations in margin that would not be due to the agreement, but to the evolution of unobserved parameters in the data such as production costs in particular. </w:t>
        <w:br/>
        <w:t xml:space="preserve">937. Based on the econometric estimates conducted in this study, Univar argues that the practice did not overall generate any overpricing in the western and Rhône-Alpes regions. At most, certain specific customers would have been impacted by the agreement: this would be the case for 3 "targeted" customers in the western region who would have suffered an overprice of around 4 to 5%, and for 59 "targeted" customers in the Rhône-Alpes region who would have suffered an overprice of around 6%. </w:t>
        <w:br/>
        <w:t xml:space="preserve">938. Although it presents certain interest, the Authority notes that the study suffers from two methodological biases. </w:t>
        <w:br/>
        <w:t xml:space="preserve">939. On the one hand, the study estimates the over-margin based on the exploitation of the database consisting of all invoices from Univar's depots from 1999 to 2009. However, some customers are present in the database only for a very incomplete period. In particular, some are present only during the agreement or only post-agreement. For these "temporary" customers, it is therefore impossible to observe a price evolution for a given product. </w:t>
        <w:br/>
        <w:t xml:space="preserve">940. On the other hand, the study does not take into account the heterogeneity of the customers present in the database. Indeed, not all customers have the same bargaining power vis-à-vis chemical commodity distributors (notably due to their size, frequency of purchases, or variety of products they buy). Moreover, it is possible that, for a given product, a customer benefits from quantity discounts based on their annual purchases. </w:t>
        <w:br/>
        <w:t xml:space="preserve">941. Despite the reservations that the Authority may have regarding the study provided by Univar, it appears that it illustrates the existence of a noticeable effect of the practice on the prices of chemical commodities in the western and Rhône-Alpes regions. </w:t>
        <w:br/>
        <w:t xml:space="preserve">942. Furthermore, some of the companies involved argue that chemical commodities represent only a small part of the costs of buyers of such products. </w:t>
        <w:br/>
        <w:t xml:space="preserve">943. However, even if sales of chemical commodities represented only a limited share of the costs incurred by buyers of these products, the damage to the economy must be assessed based on the sales of chemical commodities. </w:t>
        <w:br/>
        <w:t xml:space="preserve">944. It follows from all of the above that the damage caused to the economy by the agreement is certain, even if several factors described above lead to tempering its importance. </w:t>
        <w:br/>
        <w:t xml:space="preserve">Conclusion on the proportion of the value of sales </w:t>
        <w:br/>
        <w:t xml:space="preserve">945. Given the assessment it has made above of the seriousness of the facts and the importance of the damage caused to the economy, the Authority will retain, to determine the base amount of the sanction imposed on the companies involved, a proportion of 20% of the value of their sales of chemical commodities as calculated previously (see the summary table in paragraph 904). </w:t>
        <w:br/>
        <w:t xml:space="preserve">On the duration of participation </w:t>
        <w:br/>
        <w:t>946. As previously indicated, the duration of the infringement is a factor that should be taken into account in the assessment of both the seriousness of the facts and the importance of the damage caused to the economy. Indeed, the longer an infringement lasts, the more the harm it causes to the competitive process and the disruption it brings to the functioning of the sector or market in question, and more generally to the economy, can be substantial and persistent. The case law of the Union on this point also notes that: "If an agreement fixes the state of the market at the time it is</w:t>
      </w:r>
    </w:p>
    <w:p>
      <w:r>
        <w:rPr>
          <w:b/>
        </w:rPr>
        <w:t>[Pages 154–156]</w:t>
      </w:r>
    </w:p>
    <w:p>
      <w:r>
        <w:t xml:space="preserve">the market at the time it is concluded, its long duration may rigidify the structures (...). The return to a state of free competition will be all the more difficult and lengthy as the duration of the agreement itself has been long" (judgment of the Court of Justice of December 8, 2011, KME Germany e.a./Commission, C-389/10 P, not yet published in the reports, paragraph 75).  </w:t>
        <w:br/>
        <w:t xml:space="preserve">947. In the case of violations that have lasted more than one year, the Authority has committed to taking their duration into account according to the following practical modalities: the proportion retained, to give a numerical translation to the severity of the facts and the importance of the damage caused to the economy, is applied once, for the first complete year of individual participation in the practices of each company involved, to the value of its sales during the reference accounting period, and then to half of this value, for each of the subsequent complete years of participation. Beyond this last complete year, the remaining period is taken into account by the month, to the extent that the elements of the file allow it.  </w:t>
        <w:br/>
        <w:t xml:space="preserve">948. In each specific case, this method results in a multiplier coefficient, defined proportionally to the individual duration of participation of each of the companies in the practices and applied to the proportion of the value of the sales made by each of them during the accounting year retained as a reference.  </w:t>
        <w:br/>
        <w:t xml:space="preserve">949. The Authority recalls that the variable duration of implementation of certain agreements relevant to the complex and continuous infringement in this case has already been taken into consideration at the stage of determining the sales value of the companies concerned (paragraphs 894 and following).  </w:t>
        <w:br/>
        <w:t xml:space="preserve">950. For its part, the overall duration of participation of each of the companies involved in this infringement has been established in paragraphs 778 and following above:  </w:t>
        <w:br/>
        <w:t xml:space="preserve">– concerning Brenntag, its participation has been established from December 17, 1997, to May 31, 2005;  </w:t>
        <w:br/>
        <w:t xml:space="preserve">– concerning Caldic Est, its participation has been established from June 5, 1998, to May 31, 2003;  </w:t>
        <w:br/>
        <w:t xml:space="preserve">– concerning Solvadis, its participation has been established from December 17, 1997, to September 30, 2003;  </w:t>
        <w:br/>
        <w:t xml:space="preserve">– concerning Univar, its participation has been established from September 30, 1998, to May 31, 2005.  </w:t>
        <w:br/>
        <w:t xml:space="preserve">951. In the present case, beyond the complete years of participation in the practices in question, the Authority will retain the complete months of participation pro rata temporis, but will not retain the days preceding the first complete month and following the last complete month of participation.  </w:t>
        <w:br/>
        <w:t xml:space="preserve">952. The table below summarizes the individual duration of participation in the practice of each of the companies involved and the corresponding multiplier factor:  </w:t>
        <w:br/>
        <w:t xml:space="preserve">Company Individual Duration of Multiplier  </w:t>
        <w:br/>
        <w:t xml:space="preserve">Participation Coefficient  </w:t>
        <w:br/>
        <w:t xml:space="preserve">Brenntag 7 years and 5 months 4.20  </w:t>
        <w:br/>
        <w:t xml:space="preserve">Caldic Est 4 years and 11 months 2.95  </w:t>
        <w:br/>
        <w:t xml:space="preserve">Solvadis 5 years and 9 months 3.37  </w:t>
        <w:br/>
        <w:t xml:space="preserve">Univar 6 years and 8 months 3.83  </w:t>
        <w:br/>
        <w:t xml:space="preserve">Conclusion on the determination of the base amount  </w:t>
        <w:br/>
        <w:t xml:space="preserve">953. In view of all the above, and considering the severity of the facts and the importance of the damage caused to the economy by the practice in question, the base amount of the financial penalty determined in proportion to the sales of products related to the infringement made by each of the companies involved, on the one hand, and its individual duration of participation in the infringement, on the other hand, is established as follows:  </w:t>
        <w:br/>
        <w:t xml:space="preserve">Company Base Amount  </w:t>
        <w:br/>
        <w:t xml:space="preserve">Brenntag 48,194,370 euros  </w:t>
        <w:br/>
        <w:t xml:space="preserve">Caldic Est 1,668,796 euros  </w:t>
        <w:br/>
        <w:t xml:space="preserve">Solvadis 13,430,420 euros  </w:t>
        <w:br/>
        <w:t xml:space="preserve">Univar 19,412,355 euros  </w:t>
        <w:br/>
        <w:t xml:space="preserve">c) On taking into account the circumstances specific to each company  </w:t>
        <w:br/>
        <w:t xml:space="preserve">954. The Authority has committed to adapting the base amounts retained above in light of the legal criterion concerning the individual situation of each of the parties involved, whether they are organizations or companies, belonging, where applicable, to larger groups.  </w:t>
        <w:br/>
        <w:t xml:space="preserve">955. To this end, and depending on the elements specific to each case, it may take into account various mitigating or aggravating circumstances characterizing the behavior of each company in the context of its participation in the infringement, as well as other relevant objective elements relating to its individual situation. This consideration may lead to adjusting the penalty both upwards and downwards.  </w:t>
        <w:br/>
        <w:t xml:space="preserve">Regarding Brenntag  </w:t>
        <w:br/>
        <w:t xml:space="preserve">On the role played in the agreement  </w:t>
        <w:br/>
        <w:t xml:space="preserve">956. Among the aggravating circumstances that may be taken into account by the Authority in the context of individualizing the penalty is the fact that a company or organization plays a leading or inciting role, or more broadly a particular role in the design or implementation of the infringement. Both the national judge and the Union judge have already ruled in this regard that the role of instigator or leader of a company justified an increase in its penalty on this basis (judgments of the Court of Cassation of March 14, 1997, Spie Batignolles e.a., no. 94-15133, and of February 18, 2004, OCP Répartition e.a., no. 02-11754, and judgment of the Paris Court of Appeal of March 29, 2012, Lacroix Signalisation, cited above, p. 31; see also in this sense judgments of the Union Tribunal of April 29, 2004, Tokai Carbon e.a./Commission, T-236/01, T-239/01, T-244/01 to T-246/01, T-251/01 and T-252/01, Rec. p. II-1181, paragraph 301, and of March 15, 2006, BASF/Commission, T-15/02, Rec. p. II-497, paragraphs 354 and 374 to 376).  </w:t>
        <w:br/>
        <w:t xml:space="preserve">957. Various factual elements can characterize such a role. The interested party may, for example, have taken charge of developing or suggesting the conduct to be followed by the members of the agreement, or have ensured its logistical organization. However, it is not necessary for the interested party to have exerted pressure or dictated their conduct to the other members of the agreement. What is important is that, regardless of the form its behavior took, it effectively played a particular role.  </w:t>
        <w:br/>
        <w:t xml:space="preserve">958. In the present case, the elements of the file indicate that Brenntag played such a role.  </w:t>
        <w:br/>
        <w:t xml:space="preserve">959. First, the Authority found that Brenntag was the initiator of the practice, at least in three of the four areas where it was implemented.  </w:t>
        <w:br/>
        <w:t xml:space="preserve">960. In the western zone, it has been demonstrated in paragraphs 686 and following that Brenntag took the initiative of the agreement with Langlois Chimie (Solvadis).  </w:t>
        <w:br/>
        <w:t xml:space="preserve">961. In the northern zone, it has been demonstrated in paragraphs 683 and 687 that, regardless of the person at Brenntag who made the decision to contact competitors to counter Holvoet's development in the market, Brenntag also took the initiative of the practice.  </w:t>
        <w:br/>
        <w:t xml:space="preserve">962. In the Burgundy zone, it has been demonstrated in paragraphs 685 and 687 that Brenntag was also the initiator of the practice. Indeed, the purpose of the meeting held in Reims on June 5, 1998, was notably to present to Caldic Est the practice implemented by Brenntag in the northern zone, and it is unlikely that Caldic Est requested the organization of this meeting, as it was not, until that date, aware of said practice.  </w:t>
        <w:br/>
        <w:t xml:space="preserve">963. In the Rhône-Alpes zone, while it should be noted that the collected elements are ambiguous regarding the role played by Brenntag (references 13312 to 13314), this does not call into question Brenntag's greater involvement in the establishment of the practice as recalled concerning the other three zones.  </w:t>
        <w:br/>
        <w:t xml:space="preserve">964. It follows from the above that Brenntag played a particular role in the establishment of the agreement. For this reason, it is appropriate to increase the base amount of its penalty by 15% and raise it to 55,423,525 euros.  </w:t>
        <w:br/>
        <w:t xml:space="preserve">On the economic power of Brenntag and the group to which it belongs  </w:t>
        <w:br/>
        <w:t xml:space="preserve">965. The assessment of the individual situation may also lead to taking into account other elements of individualization, notably the scope of each company involved (see, in this sense, judgment of the Court of Cassation of April 28, 2004, Colas Midi-Méditerranée e.a., no. 02-15203).  </w:t>
        <w:br/>
        <w:t xml:space="preserve">966. The circumstance that a company has, beyond the products or services related to the infringement, a significant scope of activities, or has substantial financial power, may justify that the penalty imposed on it, in consideration of the given infringement, is higher than if this were not the case, in order to ensure both the deterrent and proportionate nature of the financial penalty (judgment of the Paris Court of Appeal of October 11, 2012, cited above, p. 71). In this regard, the Court of Cassation has already had the opportunity to specify that the effectiveness of the fight against anti-competitive practices requires that the financial penalty be effectively deterrent, in light of the financial situation specific to each company at the time it is sanctioned (judgment of the Court of Cassation of September 18, 2012, Séphora e.a., no. 12-14401, 12-14584, 12-14595, 12-14597, 12-14598, 12-14624, 12-14625 and 12-14632 and 12-14648).  </w:t>
        <w:br/>
        <w:t xml:space="preserve">967. It may also be appropriate to take into account the fact that this company belongs to a group that itself has significant size or overall resources (judgments of the Paris Court of Appeal of March 29, 2012, Lacroix Signalisation e.a. cited above, p. 32, of October 11, 2012, of October 11, 2012, Entreprise H. Chevalier Nord, cited above, p. 71, and of March 28, 2013, Allez et Cie e.a., no. 2011/20125, p. 34).  </w:t>
        <w:br/>
        <w:t>968. In this case, Brenntag's activity is not limited to the regions where the practice was implemented, nor to the products in question. Thus, the turnover of Brenntag in</w:t>
      </w:r>
    </w:p>
    <w:p>
      <w:r>
        <w:rPr>
          <w:b/>
        </w:rPr>
        <w:t>[Pages 157–159]</w:t>
      </w:r>
    </w:p>
    <w:p>
      <w:r>
        <w:t>1 200 000 000 dollars en 2012. Du fait de la mise en œuvre de la procédure de non-contestation des griefs, le montant maximal de la sanction susceptible d’être infligée à Univar s’élève à 60 000 000 euros. Ce montant est supérieur au montant mentionné au paragraphe 953 ci-dessus.</w:t>
      </w:r>
    </w:p>
    <w:p>
      <w:r>
        <w:rPr>
          <w:b/>
        </w:rPr>
        <w:t>[Pages 160–162]</w:t>
      </w:r>
    </w:p>
    <w:p>
      <w:r>
        <w:t>limited to the mere provision of information but requires a proactive engagement throughout the investigation process.</w:t>
      </w:r>
    </w:p>
    <w:p>
      <w:r>
        <w:t>1007. In this context, the Authority, like the Council before it, assesses the cooperation of the applicant based on the timeliness, completeness, and relevance of the information provided. The applicant must demonstrate a genuine willingness to assist the Authority in its inquiries, which includes not only providing requested documents but also facilitating interviews and other forms of evidence gathering.</w:t>
      </w:r>
    </w:p>
    <w:p>
      <w:r>
        <w:t>1008. In light of the above, the Authority must evaluate whether Brenntag has met the necessary conditions for a potential reduction in sanctions. This evaluation will consider the extent of Brenntag's cooperation, the quality of the evidence provided, and its overall contribution to the investigation.</w:t>
      </w:r>
    </w:p>
    <w:p>
      <w:r>
        <w:t>1009. If Brenntag is found to have cooperated adequately, it may be eligible for a partial exemption from financial penalties, depending on the specifics of its involvement in the alleged anti-competitive practices and the timing of its application for leniency.</w:t>
      </w:r>
    </w:p>
    <w:p>
      <w:r>
        <w:t>1010. Ultimately, the decision regarding the application of leniency measures will be made in accordance with the provisions of Article L. 464-2 of the Commercial Code, taking into account the principles established in previous cases and the specific circumstances surrounding Brenntag's request.</w:t>
      </w:r>
    </w:p>
    <w:p>
      <w:r>
        <w:rPr>
          <w:b/>
        </w:rPr>
        <w:t>[Pages 163–165]</w:t>
      </w:r>
    </w:p>
    <w:p>
      <w:r>
        <w:t>exhausted by the mere fact of submitting its leniency application; it remains necessary throughout the period separating the submission of this application from the holding of the college session, passing through the various stages of the preliminary investigation phase and the instruction procedure.</w:t>
      </w:r>
    </w:p>
    <w:p>
      <w:r>
        <w:t>1007. This obligation of cooperation, which is also found in the model program of the European Competition Network regarding leniency and in the case law of the Union (see, for example, judgments of the Court of May 17, 2011, Elf Aquitaine/Commission, T-299/08, Rec. 2011 p. II-2149, paragraph 342, and the cited case law, and of September 9, 2011, Deltafina/Commission, T-12/06, not yet published, paragraphs 123 to 134, and the cited case law), is recalled by the aforementioned procedural notice of April 11, 2006. It particularly emphasizes that the cooperation expected from the applicant must be "total, permanent, and rapid throughout the investigation and instruction procedure and provide them with any evidence that comes into its possession or that it has regarding the suspected infringement" (paragraph 18). It also recalls that this obligation must be respected "in all cases" and that it "entitles to total or partial exemption" from monetary sanctions (same paragraph).</w:t>
      </w:r>
    </w:p>
    <w:p>
      <w:r>
        <w:t>1008. It does not follow that any failure to cooperate necessarily implies the complete loss of the conditional exemption from sanctions contemplated at the stage of the leniency notice issued by the Authority. While it is undeniable that the violation of an essential obligation imposed on the leniency applicant in this regard, or an irremediable failure on its part (such as warning other participants in the agreement of the imminence of checks or visits and seizures) justifies the outright refusal of the exemption from sanctions contemplated in the leniency notice (see, by analogy, judgment Deltafina/Commission, cited above), a more limited failure to the obligation of true, total, permanent, and rapid cooperation calls for a response proportionate to the facts characterizing it. This response may consist of granting, within the range of reduction contemplated by the leniency notice, a lower rate than that which would have been granted to the applicant considering the added value of the documents provided to the Authority had it fully complied with its duty of cooperation, or even granting only a reduction lower than this range.</w:t>
      </w:r>
    </w:p>
    <w:p>
      <w:r>
        <w:t>1009. When the Authority examines the question of a possible failure to cooperate by a leniency applicant, in light of the position expressed, if applicable, by the investigation services and the subsequent observations of the company concerned, it must determine objectively and concretely. Certain failures may prevent, delay, or make it more difficult to establish and characterize the facts and responsibilities by the investigation services; others may make it more difficult, or even impossible, to ascertain an infringement at the end of the preliminary investigation phase and the instruction procedure, or more generally complicate the Authority's task.</w:t>
      </w:r>
    </w:p>
    <w:p>
      <w:r>
        <w:t>1010. It follows, for example, from the case law of the Union regarding the assessment of the effective respect of the obligation of cooperation, which is not directly applicable but may nonetheless be enlightening, that "when a company provides the [European] Commission with an incomplete or inaccurate factual account, its behavior cannot be considered as reflecting a genuine spirit of cooperation" (judgment Deltafina/Commission, cited above, paragraph 131, and the cited case law). It also holds that "the eventual ex post finding that the behavior violating the obligation of cooperation did not produce negative effects cannot be invoked to justify this behavior" (judgment Deltafina/Commission, cited above, paragraphs 134 and 309).</w:t>
      </w:r>
    </w:p>
    <w:p>
      <w:r>
        <w:t>1011. Under leniency notice No. 07-AC-04 of March 23, 2007, the Council granted the conditional benefit of a partial exemption from sanctions "ranging from 15 to 35% of the amount of the fine, subjecting the contemplated exemption to the following conditions:</w:t>
        <w:br/>
        <w:t>– the relevance of the elements provided by Brenntag must be verified by the investigations; these elements must contribute to establishing the reality of the practices denounced, presented as anti-competitive, and to identifying the authors;</w:t>
        <w:br/>
        <w:t>– Brenntag must provide the Competition Council and the investigation services of the Minister of Economy with total, permanent, and rapid cooperation throughout the investigation and potential instruction procedure and provide them with any evidence that comes into its possession or that it has regarding the suspected infringements, in the event that the Council decides to take up the denounced practices; in any case, it must keep the Competition Council informed of the progress and results of the leniency procedures initiated before other competition authorities, as well as the progress and results of the procedures initiated on the merits, if applicable, by these authorities regarding the denounced practices;</w:t>
        <w:br/>
        <w:t>– it must cease its participation in the alleged illegal activities;</w:t>
        <w:br/>
        <w:t>– it must not have taken measures to compel other companies to participate in the infringement;</w:t>
        <w:br/>
        <w:t>– it must not have informed the other cartel members of the existence of its approach to obtain leniency, nor of the existence or content of this notice" (references 838 to 845, 06/0075 AC).</w:t>
      </w:r>
    </w:p>
    <w:p>
      <w:r>
        <w:t>1012. It is necessary to examine whether the conditions set out in the leniency notice have been respected and whether there is therefore a reason to grant, within the range contemplated by the notice, a partial exemption from sanctions to Brenntag in relation to the practices for which this exemption has been contemplated.</w:t>
      </w:r>
    </w:p>
    <w:p>
      <w:r>
        <w:t>1013. Regarding, first, the added value of the documents provided by Brenntag, the Authority notes that it has notably communicated information to the Authority's services that allowed verifying the existence of the practices that had been previously denounced by Solvadis, as well as complementary elements concerning their context that also allowed for a better understanding of these practices.</w:t>
      </w:r>
    </w:p>
    <w:p>
      <w:r>
        <w:t>1014. Regarding, second, Brenntag's cooperation in the handling of this case, the Authority observes that Brenntag has called into question several pieces of information that it had itself communicated to the investigation services in its leniency application, including the information regarding the meeting held in Reims on June 5, 1998, which is particularly important for assessing the starting point of the practices in the Burgundy area, the knowledge that some parties may have had of practices occurring in other geographical areas than those in which they were present, or even the exchanges conducted by Brenntag's regional directors regarding the practices they implemented in their respective geographical areas.</w:t>
      </w:r>
    </w:p>
    <w:p>
      <w:r>
        <w:t>1015. As stated in paragraph 643 above, in the context of examining the participation of the parties in the agreement concluded in the "Burgundy" area, Brenntag had stated in its leniency application that the Reims meeting of June 5, 1998, was notably aimed at launching the customer allocation practice in this area, on the one hand, and confirmed in its observations on the statement of objections that it did not contest the agreements as described in this notification, on the other hand. However, it later retracted these statements in its observations on the report, indicating that the Reims meeting only concerned the agreement on technical fees and instructions.</w:t>
      </w:r>
    </w:p>
    <w:p>
      <w:r>
        <w:t>1016. Such a turnaround does not demonstrate a spirit of total, permanent, and genuine cooperation, as the Authority was entitled to expect from the company in the context of the leniency procedure.</w:t>
      </w:r>
    </w:p>
    <w:p>
      <w:r>
        <w:t>1017. In light of the preceding considerations, it must be concluded that Brenntag has presented documents with significant added value for the handling of the case, but that it has not fully complied with the obligations attached to the duty of cooperation that it bore as a company that requested – and conditionally obtained – the benefit of leniency.</w:t>
      </w:r>
    </w:p>
    <w:p>
      <w:r>
        <w:t>1018. Given all these elements, the Authority sets the rate of reduction of the sanction incurred by Brenntag at 25%, noting that this rate remains within the range contemplated by leniency notice No. 07-AC-04.</w:t>
      </w:r>
    </w:p>
    <w:p>
      <w:r>
        <w:t>Regarding Univar</w:t>
      </w:r>
    </w:p>
    <w:p>
      <w:r>
        <w:t>1019. By minutes of December 13, 2006, the general rapporteur of the Council received a request from Univar seeking the application of a leniency measure in the sector of the distribution of chemical commodities in the Rhône-Alpes region based on IV of Article L. 464-2 of the Commercial Code (reference 2, 06/0092 AC).</w:t>
      </w:r>
    </w:p>
    <w:p>
      <w:r>
        <w:t>1020. By notice No. 07-AC-05 of May 7, 2007, the Council recognized this company "the conditional benefit of a partial exemption from sanctions ranging from 10% to 20% of the amount of the fine, subjecting the contemplated exemption to the following conditions, drawn from the procedural notice and the previous practice of the Competition Council:</w:t>
        <w:br/>
        <w:t>– the relevance of the elements provided by Univar must be verified by the investigations; these elements must contribute to establishing the reality of the practices denounced, presented as anti-competitive, and to identifying the authors;</w:t>
        <w:br/>
        <w:t>– Univar must provide the Competition Council and the investigation services of the Minister of Economy with total, permanent, and rapid cooperation throughout the investigation and potential instruction procedure and provide them with any evidence that comes into its possession or that it has regarding the suspected infringements, in the event that the Council decides to take up the denounced practices; in any case, it must keep the Competition Council informed of the progress and results of the leniency procedures initiated before other competition authorities, as well as the progress and results of the procedures initiated on the merits, if applicable, by these authorities regarding the denounced practices;</w:t>
        <w:br/>
        <w:t>– it must cease its participation in the alleged illegal activities;</w:t>
        <w:br/>
        <w:t>– it must not have taken measures to compel other companies to participate in the infringement;</w:t>
        <w:br/>
        <w:t>– it must not have warned the other cartel members of the leniency procedure" (references 611 to 616, 06/0092 AC).</w:t>
      </w:r>
    </w:p>
    <w:p>
      <w:r>
        <w:rPr>
          <w:b/>
        </w:rPr>
        <w:t>[Pages 166–168]</w:t>
      </w:r>
    </w:p>
    <w:p>
      <w:r>
        <w:t>1021. Throughout the investigation, Univar responded to requests for information from the investigating services and provided several statistics related to the clients and products involved in the practices implemented in the Rhône-Alpes and western areas. This information allowed for the verification of the practices that had been previously reported more succinctly by the initial leniency applicant.</w:t>
      </w:r>
    </w:p>
    <w:p>
      <w:r>
        <w:t>1022. Furthermore, employees and former employees of Univar responded to various hearings and contact requests from the Authority's services.</w:t>
      </w:r>
    </w:p>
    <w:p>
      <w:r>
        <w:t>1023. Finally, Univar's contribution helped to demonstrate the reality of several practices constituting the complex and continuous infringement at issue.</w:t>
      </w:r>
    </w:p>
    <w:p>
      <w:r>
        <w:t>1024. In its observations, Univar believes that, given its status as the third leniency applicant and, above all, the added value resulting from the statements and documents provided, the partial exemption rate that should be granted to it should not be less than 30%, which is a rate higher than the range set by the leniency notice.</w:t>
      </w:r>
    </w:p>
    <w:p>
      <w:r>
        <w:t>1025. It should be recalled that the procedural notice of April 11, 2006, specifies in its point 22 that, when it appears, "during the examination of the case on the merits, [that] the conditions set by the Competition Council have been respected by the company, it will grant total or partial exemption from monetary sanctions as indicated in the leniency notice. In the case of partial exemption, it will determine the exact level." In other words, when a company has complied with the conditions set by the leniency notice and that notice sets a reduction range, that company cannot be granted a sanction reduction rate higher than the maximum rate contemplated by that notice, unless it deprives the leniency procedure of any predictability.</w:t>
      </w:r>
    </w:p>
    <w:p>
      <w:r>
        <w:t>1026. Finally, it should be noted that no element in the file characterizes a lack of cooperation from Univar.</w:t>
      </w:r>
    </w:p>
    <w:p>
      <w:r>
        <w:t>1027. In light of all the above, particularly the degree of added value of the documents provided by Univar and the timing of its initial leniency application, it is granted a monetary sanction reduction of 20%.</w:t>
      </w:r>
    </w:p>
    <w:p>
      <w:r>
        <w:t>Regarding GEA and DBML, former parent companies of Solvadis and Brenntag</w:t>
      </w:r>
    </w:p>
    <w:p>
      <w:r>
        <w:t>1028. GEA and DBML request the extension of the total exemption and the sanction reduction granted to their former subsidiaries, respectively Solvadis and Brenntag, pursuant to IV of Article L. 464-2 of the Commercial Code.</w:t>
      </w:r>
    </w:p>
    <w:p>
      <w:r>
        <w:t>1029. However, such an extension does not appear justified in light of the following elements. As a preliminary point, it should be recalled that, according to a consistent decision-making practice of the European Commission, the former parent company of a subsidiary controlled 100% at the time of the practices in question cannot benefit from the fine reduction granted to its former subsidiary under leniency. The Commission indeed considers that only the economic unit that submitted a leniency application and provided decisive evidence can benefit from it, namely the subsidiary and the parent company that holds it at the time of that application. In contrast, the former parent company, which no longer forms an economic unit with its former subsidiary when the latter submits its leniency application, and which has not itself submitted such an application, cannot benefit from any total immunity or fine reduction on this basis (see, in this regard, the decision of January 19, 2005, concerning a procedure for the application of Article 81 EC and Article 53 of the EEA Agreement, case COMP/E-1/37.773 – AMCA, confirmed on this issue by the judgment of the Court of First Instance of the European Communities of September 30, 2009, Hoechst/Commission, T-161/05, Rec. p. II-3555, points 74 and following; the decision of June 30, 2010, concerning a procedure for the application of Article 101 TFEU and Article 53 of the EEA Agreement, case COMP/38.344 – Prestressed Steel, and the decision of May 19, 2010, concerning a procedure for the application of Article 101 TFEU and Article 53 of the EEA Agreement, case COMP/38.511 – DRAM).</w:t>
      </w:r>
    </w:p>
    <w:p>
      <w:r>
        <w:t>1030. In particular, in its decision of June 30, 2010, the Commission granted a 25% reduction of the sanction imposed on Nedri Spanstaal for its leniency application. In contrast, it refused to extend the benefit of this reduction to Hit Groep, which was the former parent company of Nedri Spanstaal at the time of part of the facts in question, even though it attributed the infringing behavior of its former subsidiary to it, on the grounds that Hit Groep no longer formed an economic unit with Nedri Spanstaal at the time of the leniency application and that it had not itself submitted such an application.</w:t>
      </w:r>
    </w:p>
    <w:p>
      <w:r>
        <w:t>1031. As GEA itself points out, the implementation of the leniency procedure falls within the scope of procedural autonomy enjoyed by national competition authorities in relation to the decision-making practice of the European Commission and the case law of European courts, so that the Authority is not legally bound to adopt this decision-making practice and this case law. However, it is free to take them into account in defining its own practice.</w:t>
      </w:r>
    </w:p>
    <w:p>
      <w:r>
        <w:t>1032. In this case, it should be noted that the basis on which this practice and this case law rest is the notion of an undertaking in the sense of competition law, as recalled in paragraphs 816 and following above, is understood in a similar manner in domestic law and in Union law. This notion should also be taken into account in the way the Authority implements its leniency program, with a dual concern for consistency between the substantive rules provided by competition law and the procedural tools established by the Commercial Code, on the one hand, and for the coherent implementation of leniency policies within the European Competition Network, on the other hand.</w:t>
      </w:r>
    </w:p>
    <w:p>
      <w:r>
        <w:t>1033. Thus, it should be taken into account, in the framework of the modalities for granting total or partial exemption under leniency, that it is the undertaking understood as designating an economic unit, even if, from a legal point of view, it is composed of several natural or legal persons, that submits such an application that can alone benefit from such an exemption.</w:t>
      </w:r>
    </w:p>
    <w:p>
      <w:r>
        <w:t>1034. However, it must be noted that the former parent company that no longer exerts, at the time when the leniency application is submitted by its former subsidiary, a determining influence over the latter no longer forms an economic unit with it. Consequently, the subsidiary, possibly accompanied by its new parent company, cannot, through its application, engage its former parent company, nor, therefore, allow the latter to benefit from the sanction reduction granted, if applicable, by the Authority.</w:t>
      </w:r>
    </w:p>
    <w:p>
      <w:r>
        <w:t>1035. Such an approach based on the notion of an undertaking is also justified by the fact that it is up to the companies that control others to take timely measures to enable them to prevent the implementation of anti-competitive practices within them and, failing that, to detect them.</w:t>
      </w:r>
    </w:p>
    <w:p>
      <w:r>
        <w:t>1036. GEA's argument that a parent company did not directly participate in the infringement that led its former subsidiary to obtain a total or partial exemption from sanction, nor was aware of it, is ineffective as such a circumstance does not call into question its liability as a parent company, as recalled in paragraph 822 above.</w:t>
      </w:r>
    </w:p>
    <w:p>
      <w:r>
        <w:t>1037. In light of these elements, it must be concluded that GEA, the former parent company of Solvadis throughout the duration of the practices, cannot benefit from the total exemption from sanction granted to the latter under leniency.</w:t>
      </w:r>
    </w:p>
    <w:p>
      <w:r>
        <w:t>1038. DBML cannot, for the same reason, benefit from the sanction reduction granted to Brenntag under leniency.</w:t>
      </w:r>
    </w:p>
    <w:p>
      <w:r>
        <w:t>e) On the implementation of III of Article L. 464-2 of the Commercial Code</w:t>
      </w:r>
    </w:p>
    <w:p>
      <w:r>
        <w:t>On the combined implementation of leniency and non-contestation procedures</w:t>
      </w:r>
    </w:p>
    <w:p>
      <w:r>
        <w:t>1039. Under III of Article L. 464 of the Commercial Code, "[w]hen an organization or a company does not contest the reality of the charges notified to it, the general rapporteur may propose to the Competition Authority, which hears the parties and the Government Commissioner without prior establishment of a report, to impose the monetary sanction provided for in I, taking into account the absence of contestation. In this case, the maximum amount of the sanction incurred is reduced by half. When the company or organization also commits to modifying its behavior for the future, the general rapporteur may propose to the Competition Authority to take this into account as well in determining the amount of the sanction."</w:t>
      </w:r>
    </w:p>
    <w:p>
      <w:r>
        <w:t>1040. As the Authority has noted several times, the waiver of contesting the charges primarily aims to lighten and accelerate the investigative work, particularly by exempting the investigating services from drafting a report when it is done by all the companies involved (decisions No. 07-D-21 of the Council of June 26, 2007, concerning practices implemented in the laundry rental-maintenance sector, paragraph 129, No. 08-D-13 of June 11, 2008, concerning practices identified in the routine maintenance of premises, paragraph 99, and No. 09-D-05 of February 2, 2009, concerning practices implemented in the temporary work sector, paragraph 155).</w:t>
      </w:r>
    </w:p>
    <w:p>
      <w:r>
        <w:t>1041. In its procedural notice of February 10, 2012, concerning the non-contestation of charges, the Authority recalls that, in light of the case law on this matter, this waiver must take the form of a declaration by which the organization or company in question indicates, in clear, complete, unambiguous, and unconditional terms, that it does not contest, directly or indirectly, either the reality of all the practices in question, or the legal qualification given to them by the Authority's services in light of the relevant provisions of the Commercial Code and the Treaty on the Functioning of the European Union, nor their attribution. The waiver of contesting the reality of the practices in question must therefore cover both the constitutive facts of these practices, their object and their anti-competitive effects as retained in the notification of charges, their characteristics, their duration, and the modalities of the interested party's participation in the practices.</w:t>
      </w:r>
    </w:p>
    <w:p>
      <w:r>
        <w:t>1042. As recalled in paragraph 882 above, the leniency procedure provided for in IV of Article L. 464-2 of the Commercial Code aims to allow a company that participates with others in an anti-competitive practice to reveal the infringement and contribute to its establishment in exchange for a total or partial exemption from sanction.</w:t>
      </w:r>
    </w:p>
    <w:p>
      <w:r>
        <w:rPr>
          <w:b/>
        </w:rPr>
        <w:t>[Pages 169–171]</w:t>
      </w:r>
    </w:p>
    <w:p>
      <w:r>
        <w:t xml:space="preserve">1043. The leniency procedure and the procedure for non-contestation of charges therefore pursue distinct objectives. However, the coexistence of these two procedures does not exclude the possibility for the general rapporteur to propose to the Authority to take into account the fact that a company or organization that has submitted a leniency application subsequently waives its right to contest the charges that have been notified to it in the meantime.  </w:t>
        <w:br/>
        <w:t xml:space="preserve">1044. Point 6 of the procedural announcement regarding the non-contestation of charges indicates this possibility of combined implementation of the leniency and non-contestation procedures "when the Authority believes that the expected procedural gains from such a combination are sufficient. This is particularly the case when the scope of the charges notified to the organization or company in question differs on one or more significant points from the agreement as described by the applicant in its leniency application, in light of all the information and evidence it had or could have had."  </w:t>
        <w:br/>
        <w:t xml:space="preserve">1045. In its decision No. 11-D-17 of December 8, 2011, concerning practices implemented in the laundry sector, the Competition Authority noted that such differences may particularly relate to the material scope of the notified charges (for example, because they involve a horizontal agreement concerning price fixing and customer allocation while the leniency applicant only mentioned the first aspect), to their temporal scope (for example, because they relate to a period prior to or subsequent to that mentioned by the applicant), to the involvement of the companies (for example, because they consider that an agreement presented as regional by the applicant actually extends to the entire French territory), or even to their personal scope (for example, because they involve the liability of the parent company of the leniency applicant). In all these cases, the general rapporteur may consider that a waiver to contest the charges by a leniency applicant is of interest for the further handling of the case, and thus implement this procedure (paragraph 773).  </w:t>
        <w:br/>
        <w:t xml:space="preserve">1046. This combined implementation must therefore be based on a case-by-case assessment of the file, its procedural context, and the procedural gains generated by the combination of the two procedures in question.  </w:t>
        <w:br/>
        <w:t xml:space="preserve">1047. In the present case, two companies that submitted a leniency application under IV of Article L. 464-2 of the Commercial Code requested the benefit of the non-contestation procedure. These are, on the one hand, Solvadis – and its parent companies Solvadis GmbH and Solvadis Holding – and, on the other hand, Univar – and its parent companies Univar France SNC, Univar France BV, Univar Europe Holdings BV, and Univar NV.  </w:t>
        <w:br/>
        <w:t xml:space="preserve">1048. However, there is no need to examine the request from Solvadis and its current parent companies, due to the total exemption from sanctions already granted under leniency.  </w:t>
        <w:br/>
        <w:t xml:space="preserve">1049. As for the request submitted by Univar and its parent companies, it appears from paragraphs 12 and following above that Univar reported local anticompetitive practices, distinct from one another, in terms of both their anticompetitive object and their implementation modalities, some of which predate 1996. However, as recalled above, the charge that was notified to it concerns a unique, complex, and continuous infringement of multiregional dimension; it therefore significantly differs from the practices reported by Univar. The Authority therefore considers that there is a real procedural gain in granting the request made by Univar and its parent companies under III of Article L. 464-2 of the Commercial Code.  </w:t>
        <w:br/>
        <w:t xml:space="preserve">1050. The Authority further notes that, by minutes dated August 1, 2012, Univar and its parent companies committed to undertake commitments to establish a compliance program.  </w:t>
        <w:br/>
        <w:t xml:space="preserve">1051. It should be recalled in this regard that the waiver to contest the charges cannot lead to granting the interested parties only a relatively limited reduction of the sanction. It is, where applicable, the nature and quality of the commitments made that may allow for a more significant reduction of the sanction, provided they are substantial, credible, and verifiable (decisions No. 07-D-21, cited above, paragraph 129, No. 08-D-13 of June 11, 2008, concerning practices identified in the sector of routine maintenance of premises, paragraph 99, No. 09-D-05 of February 2, 2009, concerning practices implemented in the temporary work sector, paragraph 155, and No. 11-D-17 of December 8, 2011, concerning practices implemented in the laundry sector). When it accepts the commitments proposed by the companies, the Authority makes them mandatory in the decision it adopts at the end of the procedure. It may naturally be led to subsequently ensure their effective implementation.  </w:t>
        <w:br/>
        <w:t xml:space="preserve">1052. With regard to compliance programs specifically, the Authority published a framework document on compliance with competition rules on February 10, 2012. This document, which synthesizes its decision-making practice in this regard, also specifies the conditions under which the Authority considers that such programs must meet to be effective, and the concrete results it expects from them.  </w:t>
        <w:br/>
        <w:t xml:space="preserve">1053. In this case, the compliance program presented by Univar and its parent companies includes a mandatory training and awareness-raising system regarding competition rules, a system of regular audits, and a reporting mechanism allowing employees and executives of the group to reveal anticompetitive practices of which they may be aware. It is planned that this reporting mechanism will be deployed within three months following this decision. The implementation of this compliance program is, moreover, placed under the control of a compliance officer. Finally, it is provided, in the form of an amendment to employment contracts and the internal regulations, that any breaches of competition rules by executives and employees will result in proportionate sanctions, in accordance with applicable labor law.  </w:t>
        <w:br/>
        <w:t xml:space="preserve">1054. All of these commitments appear substantial, credible, and verifiable.  </w:t>
        <w:br/>
        <w:t xml:space="preserve">1055. It is therefore appropriate to grant Univar and its parent companies a 15% reduction in the amount of their sanction under the non-contestation procedure, a reduction that is added to that already granted under the leniency procedure.  </w:t>
        <w:br/>
        <w:t xml:space="preserve">On the requests for implementation of the non-contestation procedure submitted by Caldic Est and GEA  </w:t>
        <w:br/>
        <w:t xml:space="preserve">1056. Caldic Est and GEA did not submit a leniency application, but instead requested the benefit of the non-contestation procedure.  </w:t>
        <w:br/>
        <w:t xml:space="preserve">Regarding Caldic Est  </w:t>
        <w:br/>
        <w:t xml:space="preserve">1057. By minutes dated July 5, 2012, Caldic Est waived its right to contest the charge of a unique, complex, and continuous infringement that had been notified to it. It also committed to establish a compliance program.  </w:t>
        <w:br/>
        <w:t xml:space="preserve">1058. The compliance program proposed by Caldic Est includes an information, training, and awareness-raising mechanism for employees regarding competition rules, a framework mechanism for future contacts with competing companies, and a reporting mechanism allowing employees and executives of the group to reveal anticompetitive practices of which they may be aware. Its implementation is, moreover, placed under the control of a compliance officer who will have the necessary human and financial resources for his mission. Furthermore, it is provided, in the form of an amendment to employment contracts and the internal regulations, that any breaches of competition rules by executives and employees will result in proportionate sanctions, in accordance with applicable labor law. Finally, Caldic Est committed to have an audit of its business practices conducted by lawyers specialized in competition law.  </w:t>
        <w:br/>
        <w:t xml:space="preserve">1059. The Authority considers that the commitments proposed by Caldic Est appear substantial, credible, and verifiable. It further notes that these commitments come from a very small company, which makes them all the more significant.  </w:t>
        <w:br/>
        <w:t xml:space="preserve">1060. Consequently, a 20% reduction will be applied to the sanction imposed on Caldic Est.  </w:t>
        <w:br/>
        <w:t xml:space="preserve">Regarding GEA  </w:t>
        <w:br/>
        <w:t xml:space="preserve">1061. GEA was notified of the charge of a unique, complex, and continuous infringement retained by the Authority in its capacity as the parent company of Solvadis at the time of the facts. By minutes dated September 17, 2012, it waived its right to contest this charge and then proposed to make commitments.  </w:t>
        <w:br/>
        <w:t xml:space="preserve">1062. The commitments proposed by GEA consist of making improvements to the existing compliance program within the GEA group, so that it includes an information, training, and awareness-raising mechanism for employees regarding competition rules, a framework mechanism for future contacts with competing companies, and a reporting mechanism allowing employees and executives of the group to reveal, also anonymously, anticompetitive practices of which they may be aware. Its implementation is, moreover, placed under the control of a compliance officer who will have the necessary human and financial resources for his mission. Furthermore, it is provided that any breaches of competition rules by executives and employees will result in proportionate sanctions, in accordance with applicable labor law. Moreover, GEA committed to conduct a regular assessment of the effectiveness of the GEA Group compliance program as improved regarding competition law for the French subsidiaries of GEA Group. Finally, GEA committed that all proposed measures will be implemented before the end of the one-year period following the adoption of this decision. Given the size of GEA, the timeline envisaged for the implementation of all aspects of its compliance program appears sufficient and reasonable.  </w:t>
        <w:br/>
        <w:t xml:space="preserve">1063. The Authority considers that the commitments proposed by GEA appear substantial, credible, and verifiable, particularly in that they provide for the regular assessment of the effectiveness of the GEA Group compliance program for all French subsidiaries of the group.  </w:t>
        <w:br/>
        <w:t xml:space="preserve">1064. A 20% reduction will therefore be applied to the base amount obtained for the sanction of its former subsidiary Solvadis.  </w:t>
        <w:br/>
        <w:t xml:space="preserve">f) On the sanction imposed on DBML in its capacity as the parent company of Brenntag at the time of the practices  </w:t>
        <w:br/>
        <w:t>1065. As indicated in paragraph 853 above, DBML, formerly known as Stinnes AG, is held responsible for the practices established under charge No. 1 as the parent company of</w:t>
      </w:r>
    </w:p>
    <w:p>
      <w:r>
        <w:rPr>
          <w:b/>
        </w:rPr>
        <w:t>[Pages 172–174]</w:t>
      </w:r>
    </w:p>
    <w:p>
      <w:r>
        <w:t xml:space="preserve">Brenntag in proportion to the duration of its holding, namely from January 1, 1998, to January 31, 2004, a duration of 6 years and a duration coefficient of 3.5.  </w:t>
        <w:br/>
        <w:t xml:space="preserve">1066. It must therefore be held jointly and severally liable for the sanction imposed on Brenntag.  </w:t>
        <w:br/>
        <w:t xml:space="preserve">1067. For Brenntag, the duration of the practices indicated in paragraphs 779 and following above extends from December 17, 1997, to May 31, 2005, which amounts to a duration of 7 years and 5 months and a duration coefficient of 4.2. The holding period of Brenntag by DBML is entirely included in the period of the practices of grievance no. 1. Brenntag was a wholly-owned subsidiary of DBML for 83.33333% of the total duration of the practices.  </w:t>
        <w:br/>
        <w:t xml:space="preserve">1068. As recalled in paragraph 971 above, the individualized amount of the sanction for Brenntag, after verification of the legal maximum, is 63,737,053 euros.  </w:t>
        <w:br/>
        <w:t xml:space="preserve">1069. The amount of the sanction imposed on DBML corresponds to 83.33333% of this amount, namely 53,114,211 euros.  </w:t>
        <w:br/>
        <w:t xml:space="preserve">1070. Brenntag benefiting from a reduction rate under leniency of 25%, its sanction amounts to 47,802,789 euros.  </w:t>
        <w:br/>
        <w:t xml:space="preserve">1071. It follows that DBML and Brenntag are jointly and severally imposed a sanction of 47,802,789 euros and that DBML must solely pay a sanction of 5,311,422 euros.  </w:t>
        <w:br/>
        <w:t xml:space="preserve">g) On the sanction imposed on GEA as the parent company at the time of the practices  </w:t>
        <w:br/>
        <w:t xml:space="preserve">1072. As indicated in paragraph 835 above, GEA is held liable for the practices established under grievance no. 1, as the parent company of Solvadis, in proportion to the duration of its 100% holding of the latter, namely from October 6, 1998, to September 30, 2003, a duration of 4 years and 11 months and a duration coefficient of 2.95. It must therefore be held jointly and severally liable for the sanction imposed on Solvadis.  </w:t>
        <w:br/>
        <w:t xml:space="preserve">1073. For Solvadis, the duration of the practices indicated in paragraph 778 above extends from December 17, 1997, to September 30, 2003, which amounts to a duration of 5 years and 9 months and a duration coefficient of 3.37. The holding period of Solvadis by GEA covers the period of the practices of grievance no. 1 from October 6, 1998, namely 87.5371% of the duration of the practices.  </w:t>
        <w:br/>
        <w:t xml:space="preserve">1074. As recalled in paragraph 993 above, the individualized amount of the sanction for Solvadis, after verification of the legal maximum, is 13,430,420 euros, before taking into account the total exemption it benefits from under leniency.  </w:t>
        <w:br/>
        <w:t xml:space="preserve">1075. The amount of the sanction imposed on GEA corresponds to 87.5371% of this amount, namely 11,756,599 euros, to which a reduction of 20% for not contesting the grievances should be applied. It follows that the sanction for GEA amounts to 9,405,279 euros.  </w:t>
        <w:br/>
        <w:t xml:space="preserve">h) On the final amount of the sanctions imposed under grievance no. 1  </w:t>
        <w:br/>
        <w:t>1076. In light of all the above, the following sanctions should be imposed on each of the companies involved:</w:t>
      </w:r>
    </w:p>
    <w:p>
      <w:r>
        <w:t>| Company       | Sanction before taking into account leniency and/or non-contestation of grievances | Final Sanction                          |</w:t>
        <w:br/>
        <w:t>|---------------|-----------------------------------------------------------------------------------|----------------------------------------|</w:t>
        <w:br/>
        <w:t>| Brenntag      | 63,737,053 euros                                                                   | 47,802,789 euros jointly and severally with DBML |</w:t>
        <w:br/>
        <w:t>| DBML          | 53,114,211 euros                                                                   | 5,311,422 euros solely and 47,802,789 euros jointly and severally with Brenntag |</w:t>
        <w:br/>
        <w:t>| Caldic Est    | 1,668,796 euros                                                                    | 1,335,036 euros                        |</w:t>
        <w:br/>
        <w:t>| Solvadis      | 13,430,420 euros                                                                   | 0 euros                                |</w:t>
        <w:br/>
        <w:t>| GEA Group     | 11,756,599 euros                                                                   | 9,405,279 euros                        |</w:t>
        <w:br/>
        <w:t>| Univar        | 22,324,208 euros                                                                   | 15,180,461 euros                       |</w:t>
      </w:r>
    </w:p>
    <w:p>
      <w:r>
        <w:t xml:space="preserve">2. ON THE SANCTIONS IMPOSED UNDER GRIEVANCE NO. 2  </w:t>
        <w:br/>
        <w:t xml:space="preserve">a) On the value of sales  </w:t>
        <w:br/>
        <w:t xml:space="preserve">1077. The Authority recalled in paragraphs 889 and following the methods for determining the value of sales.  </w:t>
        <w:br/>
        <w:t xml:space="preserve">1078. The categories of services to be considered, in order to determine the value of sales, are those concerned by the practice, as described in the part of the decision dedicated to the qualification of the practices (paragraphs 791 and following).  </w:t>
        <w:br/>
        <w:t xml:space="preserve">1079. In this case, the companies established an agreement aimed at dividing the delivery of methanol orders from GKN and jointly setting the prices charged to this client. The affected sales that will be retained by the Authority will therefore be those of methanol to GKN by Brenntag and Chemco.  </w:t>
        <w:br/>
        <w:t xml:space="preserve">1080. In view of the individual participation of each of the parties involved in the infringement, as established above in paragraphs 802 and following of the decision, the last complete accounting period retained to determine this value of sales will be the year 2006 for Brenntag and Chemco.  </w:t>
        <w:br/>
        <w:t xml:space="preserve">1081. Given the numerical data available to the Authority, it does not appear that the sales made during these periods would be manifestly unrepresentative of the annual activity of each of the parties involved during the period in which they participated in the infringement.  </w:t>
        <w:br/>
        <w:t>1082. In light of the above considerations, the table below summarizes the values of sales serving as the basis for the individual sanction of each of the parties.</w:t>
      </w:r>
    </w:p>
    <w:p>
      <w:r>
        <w:t>| Company       | Value of Sales   |</w:t>
        <w:br/>
        <w:t>|---------------|------------------|</w:t>
        <w:br/>
        <w:t>| Brenntag      | 77,000 euros      |</w:t>
        <w:br/>
        <w:t>| Chemco        | 45,301 euros      |</w:t>
      </w:r>
    </w:p>
    <w:p>
      <w:r>
        <w:t xml:space="preserve">b) On the determination of the base amount  </w:t>
        <w:br/>
        <w:t xml:space="preserve">1083. The methods for determining the base amount have been recalled in paragraphs 905 and following of the decision.  </w:t>
        <w:br/>
        <w:t xml:space="preserve">On the proportion of the value of sales  </w:t>
        <w:br/>
        <w:t xml:space="preserve">On the severity of the facts  </w:t>
        <w:br/>
        <w:t xml:space="preserve">1084. Brenntag and Chemco implemented practices consisting of a division of deliveries to the client GKN, coupled with price coordination aimed at setting the price offered to this client. Furthermore, cross deliveries between these companies allowed them to smooth orders to the client GKN over the year while increasing their margins.  </w:t>
        <w:br/>
        <w:t xml:space="preserve">1085. This infringement constitutes a horizontal agreement between competitors aimed at dividing deliveries to this client and manipulating the selling prices of methanol, instead of leaving these parameters to the free discretion of each of the companies, within the framework of an autonomous determination of their commercial policy and behavior in the market.  </w:t>
        <w:br/>
        <w:t xml:space="preserve">1086. As recalled in paragraphs 909 and following above, such practices, by their very nature aimed at manipulating essential parameters of competition, are particularly serious. The fact that they simultaneously concern several key parameters of the competitive game (price and client) is, moreover, likely to reinforce their seriousness in this case.  </w:t>
        <w:br/>
        <w:t xml:space="preserve">1087. Furthermore, this infringement is all the more serious as it has taken on a secret character, an element making it particularly difficult to detect and reflecting, to some extent, its deliberate nature. In this regard, the division of orders and price coordination concerning the client GKN, as well as the cross deliveries allowing for smoothing the revenues of the agreement, were not known to it and prevented it from knowing the reality of the competition existing in the market between its suppliers.  </w:t>
        <w:br/>
        <w:t xml:space="preserve">On the importance of the damage caused to the economy  </w:t>
        <w:br/>
        <w:t xml:space="preserve">1088. The methods for assessing the importance of the damage caused to the economy have been recalled in paragraphs 923 and following of the decision.  </w:t>
        <w:br/>
        <w:t xml:space="preserve">1089. It is necessary, first of all, to examine the extent of the practices. They concerned only the trading of methanol by full truck from the sole client GKN and amounted, accumulated over the entire duration of the infringement, to less than 800,000 euros. The other clients of the two suppliers involved, Chemco and Brenntag, were not affected by the agreement.  </w:t>
        <w:br/>
        <w:t>1090. Secondly, regarding the objective economic characteristics of the sector in question, it should be noted that, unlike the sector of chemical commodities distribution, that of chemical commodities trading, as described in the</w:t>
      </w:r>
    </w:p>
    <w:p>
      <w:r>
        <w:rPr>
          <w:b/>
        </w:rPr>
        <w:t>[Pages 175–177]</w:t>
      </w:r>
    </w:p>
    <w:p>
      <w:r>
        <w:t>1090. Regarding, secondly, the objective economic characteristics of the sector in question, it should be noted that, unlike the sector of chemical commodity distribution, that of chemical commodity trading, as described in paragraph 31 of the decision, does not require significant capital investments to enter.</w:t>
      </w:r>
    </w:p>
    <w:p>
      <w:r>
        <w:t>1091. Furthermore, as noted in paragraphs 26 and following of the decision, for a consumer of large quantities of methanol, there is a wide choice of suppliers consisting of methanol manufacturers, traders, but also distributors through direct deliveries. Consequently, GKN was able to source from other suppliers not involved in the practice in question.</w:t>
      </w:r>
    </w:p>
    <w:p>
      <w:r>
        <w:t>1092. Thirdly, concerning the conjunctural and structural consequences of the practices, it should first be noted that Brenntag and Chemco have always scrupulously respected the planned allocation of orders. While the terms of the organization of the agreement may have evolved over time, notably due to supply difficulties, the behaviors of the companies involved allowed the agreement to have real and significant effects on the prices paid by the client affected by the practices.</w:t>
      </w:r>
    </w:p>
    <w:p>
      <w:r>
        <w:t>1093. In this regard, GKN provided data on all its methanol orders between January 2001 and June 2012, which allow for a direct observation of the real effect of the practices on the price paid by it.</w:t>
      </w:r>
    </w:p>
    <w:p>
      <w:r>
        <w:t>1094. The graph below presents the comparative evolution of prices (from January 2001 to December 2012) of methanol at production on one hand (price displayed for Europe by Methanex, the largest global producer of methanol), and paid by GKN on the other. The vertical line corresponds to March 2007, the end of the agreement between Brenntag and Chemco.</w:t>
      </w:r>
    </w:p>
    <w:p>
      <w:r>
        <w:t>Evolution of the price of methanol at production and the price paid by GKN</w:t>
      </w:r>
    </w:p>
    <w:p>
      <w:r>
        <w:t>1095. This graph shows that the difference between the methanol price (producer price) in Europe and the price paid by GKN was significantly greater during the agreement (i.e. in the left part of the graph) than after the agreement (i.e. in the right part of the graph). While this difference was on average over 200 euros per ton before March 2007, it became less than 100 euros per ton after that date.</w:t>
      </w:r>
    </w:p>
    <w:p>
      <w:r>
        <w:t>1096. A simple econometric regression of the price paid by GKN on the methanol production price that incorporates a variable identifying the period of the agreement allows for the assessment of the overprice paid by GKN. This "before/after" method does not pose any difficulty here as the evolution of the methanol price on the European market can be seen as a good indicator of the evolution of the costs of GKN's suppliers. This regression thus leads to an estimate of an overprice generated by the agreement between Brenntag and Chemco of around 35%.</w:t>
      </w:r>
    </w:p>
    <w:p>
      <w:r>
        <w:t>1097. In light of all the above, the damage caused to the economy by the agreement appears certain, even if several factors lead to tempering its significance.</w:t>
      </w:r>
    </w:p>
    <w:p>
      <w:r>
        <w:t>Conclusion on the proportion of the value of sales</w:t>
      </w:r>
    </w:p>
    <w:p>
      <w:r>
        <w:t>1098. Given the assessment made above regarding the seriousness of the facts and the importance of the damage caused to the economy, the Authority will retain, to determine the base amount of the sanction imposed on the parties involved, a proportion of 20% of the value of their methanol sales to the client GKN as previously calculated.</w:t>
      </w:r>
    </w:p>
    <w:p>
      <w:r>
        <w:t>On the duration of participation</w:t>
      </w:r>
    </w:p>
    <w:p>
      <w:r>
        <w:t>1099. As indicated in paragraph 946, the duration of the infringement is a factor that should be taken into account in the assessment of both the seriousness of the facts and the importance of the damage caused to the economy.</w:t>
      </w:r>
    </w:p>
    <w:p>
      <w:r>
        <w:t>1100. In principle, as previously recalled, the longer an infringement lasts, the greater the harm it causes to the competitive process and the disruption it brings to the functioning of the sector or market in question, and more generally to the economy, can be substantial and persistent.</w:t>
      </w:r>
    </w:p>
    <w:p>
      <w:r>
        <w:t>1101. In this case, the Authority found in paragraphs 811 and following that the existence of the agreement on the allocation of methanol orders placed by the client GKN is established, based on the evidence in the file, from January 31, 2000, to March 2007.</w:t>
      </w:r>
    </w:p>
    <w:p>
      <w:r>
        <w:t>1102. In this instance, beyond the complete years of participation in the practices in question, the Authority will retain the complete months of participation pro rata temporis, but will not retain the days preceding the first complete month and following the last complete month of participation.</w:t>
      </w:r>
    </w:p>
    <w:p>
      <w:r>
        <w:t>1103. The table below summarizes the individual duration of participation in the practices of each of the companies involved and the corresponding multiplier factor:</w:t>
      </w:r>
    </w:p>
    <w:p>
      <w:r>
        <w:t>Company Individual duration of Participation Coefficient participation multiplier applicable Brenntag 7 years and 1 month 4.04 Chemco 7 years and 1 month 4.04</w:t>
      </w:r>
    </w:p>
    <w:p>
      <w:r>
        <w:t>Conclusion on the determination of the base amount</w:t>
      </w:r>
    </w:p>
    <w:p>
      <w:r>
        <w:t>1104. In light of all the above, and considering the seriousness of the facts and the importance of the damage caused to the economy by the practices in question, the base amount of the monetary sanction for each company is established as follows:</w:t>
      </w:r>
    </w:p>
    <w:p>
      <w:r>
        <w:t>Company Base amount Brenntag 62,216 euros Chemco 36,603 euros</w:t>
      </w:r>
    </w:p>
    <w:p>
      <w:r>
        <w:t>c) On the consideration of circumstances specific to each company</w:t>
      </w:r>
    </w:p>
    <w:p>
      <w:r>
        <w:t>1105. The Authority recalled in paragraphs 954 and following the modalities for taking into account the circumstances specific to each of the companies involved.</w:t>
      </w:r>
    </w:p>
    <w:p>
      <w:r>
        <w:t>Regarding Brenntag</w:t>
      </w:r>
    </w:p>
    <w:p>
      <w:r>
        <w:t>On the particular role of Brenntag</w:t>
      </w:r>
    </w:p>
    <w:p>
      <w:r>
        <w:t>1106. As indicated in paragraphs 956 and following, among the aggravating circumstances that may be taken into consideration by the Authority in the context of individualizing the sanction is the fact that a company or organization plays a leading or instigating role, or more broadly a particular role in the design and/or implementation of the infringement.</w:t>
      </w:r>
    </w:p>
    <w:p>
      <w:r>
        <w:t>1107. In this case, it emerges from the elements established by the Authority in paragraphs 478 and following of the decision that Brenntag initiated the agreement between itself and Chemco.</w:t>
      </w:r>
    </w:p>
    <w:p>
      <w:r>
        <w:t>1108. This role is also confirmed by Chemco, which states in its observations on the notification of grievances that "Chemco had no choice but to accept the consultation proposed by Brenntag, otherwise it would lose its client Brenntag and its client GKN" (reference 38275).</w:t>
      </w:r>
    </w:p>
    <w:p>
      <w:r>
        <w:t>1109. In light of these elements, it is established that Brenntag played a leading role in the establishment of the agreement, a role that must be taken into account in the context of the individualization of its sanction. For this reason, the Authority considers it appropriate to increase the base amount of its sanction by 15% and raise it to €71,548.</w:t>
      </w:r>
    </w:p>
    <w:p>
      <w:r>
        <w:t>On the size, economic power, and overall resources of Brenntag</w:t>
      </w:r>
    </w:p>
    <w:p>
      <w:r>
        <w:t>1110. The Authority recalled in paragraphs 965 and following that the assessment of the individual situation may lead to taking into account the scale of the company involved, and when it belongs to a group, the scale of that group.</w:t>
      </w:r>
    </w:p>
    <w:p>
      <w:r>
        <w:t>1111. In this case, as demonstrated in paragraphs 968 and following, Brenntag has substantial financial resources that are significantly higher than the value of sales related to the practice. Its turnover in 2011 was indeed over 455 million euros. It also consolidates its accounts within the company Brenntag AG, at the head of a group whose turnover was 9.689 billion euros in 2012.</w:t>
      </w:r>
    </w:p>
    <w:p>
      <w:r>
        <w:rPr>
          <w:b/>
        </w:rPr>
        <w:t>[Pages 178–180]</w:t>
      </w:r>
    </w:p>
    <w:p>
      <w:r>
        <w:t xml:space="preserve">1112. Furthermore, the size and financial resources of the group to which it belongs, considered as a whole, are incomparable to those of the other parties to the infringement, all of which generated, during the relevant period, a significantly lower turnover.  </w:t>
        <w:br/>
        <w:t xml:space="preserve">1113. In light of the above elements, the base amount of the financial penalty for Brenntag will be increased by 15% and set at 82,280 euros.  </w:t>
        <w:br/>
        <w:t xml:space="preserve">Regarding Chemco  </w:t>
        <w:br/>
        <w:t xml:space="preserve">1114. As for Chemco, the elements of the file do not reveal any specific factors related to its situation or behavior that would warrant an increase or decrease in its penalty, subject to the examination of its contributory capacity, which will be conducted later.  </w:t>
        <w:br/>
        <w:t xml:space="preserve">On the verification of the applicable maximum  </w:t>
        <w:br/>
        <w:t xml:space="preserve">1115. The highest known consolidated worldwide turnover excluding taxes achieved by Brenntag AG, which consolidates the turnover of Brenntag SA, was 9,689,900,000 euros in 2012. Therefore, the maximum amount of the penalty is set at 968,990,000 euros concerning it. This amount exceeds the amount mentioned in paragraph 1113 above.  </w:t>
        <w:br/>
        <w:t xml:space="preserve">1116. The highest known worldwide turnover excluding taxes achieved by Chemco was 8,179,811 euros in 2008. Therefore, the maximum amount of the penalty is set at 817,981 euros concerning it. This amount exceeds the amount mentioned in paragraph 1104 above.  </w:t>
        <w:br/>
        <w:t xml:space="preserve">d) On the application of IV of Article L. 464-2 of the Commercial Code  </w:t>
        <w:br/>
        <w:t xml:space="preserve">1117. As previously recalled, IV of Article L. 464-2 of the Commercial Code allows the Authority to grant a company that implements a practice prohibited by the provisions of Article L. 420-1 of the Commercial Code a total or partial exemption from financial penalty if it has contributed to establishing the reality of the prohibited practice and identifying its authors, by providing information that the Authority did not previously possess.  </w:t>
        <w:br/>
        <w:t xml:space="preserve">1118. The procedural notice of April 11, 2006, regarding the French leniency program, indicates in this regard that the company must at a minimum provide the name and address of the parties to the agreement, a detailed description of the relevant markets and the denounced practices, the evidence in its possession or under its control at the time of its request, and information on any leniency request related to these practices that has been or will be made to other competition authorities (point 12).  </w:t>
        <w:br/>
        <w:t xml:space="preserve">1119. In its observations on the notification of grievances, Brenntag argues that it is the first company to have provided evidence of the practice retained under grievance No. 2 and that, as such, it should not be subject to any penalty.  </w:t>
        <w:br/>
        <w:t xml:space="preserve">1120. As indicated in paragraph 1111 of this decision, by notice No. 07-AC-04 of March 23, 2007, Brenntag obtained the conditional benefit of a partial exemption from penalty for anti-competitive practices consisting of customer allocations and price coordination based in particular on information exchanges in the chemical commodities distribution sector that allegedly took place between 1998 and 2005 at the latest.  </w:t>
        <w:br/>
        <w:t xml:space="preserve">1121. Brenntag revealed, in a letter dated May 17, 2008 (reference 13424) and thus several months after the Council adopted the aforementioned leniency notice, a customer allocation practice between itself and Chemco that extended from January 2000 to March 2007 and was limited to the sole client GKN.  </w:t>
        <w:br/>
        <w:t xml:space="preserve">1122. This practice was the subject of a grievance notified to the companies separately, for the reasons set out in paragraphs 477 and following of this decision. In particular, it occurred in a distinct sector – namely, the trading market for chemical commodities and not in the distribution of chemical commodities referred to in grievance No. 1 – and concerned a company, namely Chemco, which was not a party to the unique, complex, and continuous infringement of grievance No. 1.  </w:t>
        <w:br/>
        <w:t xml:space="preserve">1123. For this practice retained under grievance No. 2, Brenntag did not make a specific leniency request under the conditions of IV of Article L. 464-2 of the Commercial Code.  </w:t>
        <w:br/>
        <w:t xml:space="preserve">1124. However, it should be noted that if Brenntag, as it should have done, had made a specific leniency request related to the practice referred to under grievance No. 2, it would, according to all probability, given the very particular circumstances of this case, have obtained a conditional leniency notice, subject to compliance with the conditions indicated in the aforementioned procedural notice, granting it the conditional benefit of a total exemption from fine.  </w:t>
        <w:br/>
        <w:t xml:space="preserve">1125. Furthermore, it is important to emphasize that Brenntag cooperated, in the context of this grievance, with the Authority's services, notably by providing them with documents related to the denounced practices and explaining both the scope, duration, as well as the purpose and operational modalities of the agreement, during hearings, information requests, or in the context of its submissions.  </w:t>
        <w:br/>
        <w:t xml:space="preserve">1126. In light of these very particular circumstances, the Authority considers it justified to grant Brenntag the benefit of a total exemption from penalty concerning the practices established under grievance No. 2.  </w:t>
        <w:br/>
        <w:t xml:space="preserve">e) On the penalty imposed on DBML as the parent company of Brenntag at the time of the practices  </w:t>
        <w:br/>
        <w:t xml:space="preserve">1127. As indicated in paragraph 853, DBML, formerly known as Stinnes AG, is held responsible for the practices established under grievance No. 2, as the parent company of Brenntag, in proportion to the duration of its holding, namely from January 1, 1998, to January 31, 2004, a duration of 6 years and a duration coefficient of 3.5.  </w:t>
        <w:br/>
        <w:t xml:space="preserve">1128. It must therefore be held jointly and severally liable for the penalty imposed on Brenntag.  </w:t>
        <w:br/>
        <w:t xml:space="preserve">1129. For Brenntag, the duration of the practices indicated in paragraphs 1101 and following extends from January 31, 2000, to March 2007, which amounts to a duration of 7 years and 1 month and a duration coefficient of 4.04. The holding period of Brenntag by DBML is entirely included in the period of the practices retained under grievance No. 2. Brenntag was a wholly-owned subsidiary of DBML for 61.881% of the total duration of the practices (4 years out of 7 years and 1 month).  </w:t>
        <w:br/>
        <w:t xml:space="preserve">1130. The amount of the penalty for Brenntag, after verification of the legal maximum, amounts to 82,280 euros. However, Brenntag benefits from a total exemption from penalty under leniency.  </w:t>
        <w:br/>
        <w:t xml:space="preserve">1131. As a result, DBML will alone, for the reasons recalled in paragraphs 1029 and following above, pay a penalty of 50,916 euros.  </w:t>
        <w:br/>
        <w:t xml:space="preserve">f) On the contributory capacity of Chemco  </w:t>
        <w:br/>
        <w:t xml:space="preserve">1132. Regarding the specific elements of the situation of each company or organization involved, the Authority has committed to assessing the existence of particular financial difficulties that may diminish the contributory capacity of the parties when they request it, according to the practical modalities indicated in the notice of May 16, 2011, mentioned above.  </w:t>
        <w:br/>
        <w:t xml:space="preserve">1133. It is particularly the responsibility of the company concerned to justify the existence of such difficulties by relying on reliable, complete, and objective evidence attesting to their reality and their concrete consequences on its contributory capacity (see, in this sense, judgment of the Paris Court of Appeal of October 11, 2012, mentioned above, p. 73).  </w:t>
        <w:br/>
        <w:t xml:space="preserve">1134. In this case, Chemco has invoked the existence of particular financial difficulties that would affect its contributory capacity.  </w:t>
        <w:br/>
        <w:t xml:space="preserve">1135. The elements in the file do indeed reliably and objectively attest to the existence of real and current financial difficulties encountered by Chemco, on the one hand, and the consequences of these difficulties on its contributory capacity, on the other hand. It is therefore appropriate to take them into account.  </w:t>
        <w:br/>
        <w:t xml:space="preserve">1136. Given Chemco's contributory capacity, the financial penalty imposed on it under grievance No. 2 will be reduced from 36,603 euros to 10,000 euros.  </w:t>
        <w:br/>
        <w:t xml:space="preserve">g) On the final amount of the penalties imposed under grievance No. 2  </w:t>
        <w:br/>
        <w:t xml:space="preserve">1137. In light of all the above, the following penalties should be imposed on each of the companies:  </w:t>
        <w:br/>
        <w:t xml:space="preserve">Company Penalty before taking into account Final penalty  </w:t>
        <w:br/>
        <w:t xml:space="preserve">the leniency reduction  </w:t>
        <w:br/>
        <w:t xml:space="preserve">Brenntag 82,280 euros 0 euros  </w:t>
        <w:br/>
        <w:t xml:space="preserve">DBML 50,916 euros 50,916 euros  </w:t>
        <w:br/>
        <w:t xml:space="preserve">Chemco 36,603 euros 10,000 euros  </w:t>
        <w:br/>
        <w:t xml:space="preserve">G. ON THE PUBLICATION OBLIGATION  </w:t>
        <w:br/>
        <w:t xml:space="preserve">1138. Pursuant to I of Article L. 464-2, fifth paragraph, of the Commercial Code, the Competition Authority may order the publication, dissemination, or posting of its decision or an excerpt thereof according to the modalities it specifies. The costs are borne by the interested party.  </w:t>
        <w:br/>
        <w:t>1139. In this case, in order to inform consumers and professionals of this decision and to encourage vigilance regarding the condemned practices, it is necessary to order the publication, at the shared expense of the sanctioned companies and in proportion to their penalties.</w:t>
      </w:r>
    </w:p>
    <w:p>
      <w:r>
        <w:rPr>
          <w:b/>
        </w:rPr>
        <w:t>[Pages 181–183]</w:t>
      </w:r>
    </w:p>
    <w:p>
      <w:r>
        <w:t xml:space="preserve">financial penalties, in the paper editions of the newspapers "Les Echos" and "L’Usine nouvelle," of the summary of the present decision set out below:  </w:t>
        <w:br/>
        <w:t xml:space="preserve">"Publication obligation imposed by the Competition Authority  </w:t>
        <w:br/>
        <w:t xml:space="preserve">On May 28, 2013, the Competition Authority issued a decision sanctioning an agreement between Brenntag, Caldic Est, Univar, and Solvadis with a fine of 79 million euros. This agreement involved these chemical product distributors artificially allocating customers and coordinating prices. The practices in question, observed in Burgundy, Rhône-Alpes, Northern and Western France, were part of a single overarching anti-competitive strategy. They were implemented by the main distributors of chemical commodities in France, representing up to 80% of sales at the end of the practices. Many companies (industrials, SMEs) active downstream in the value chain were victims of these practices: with the exception of Île-de-France and the Southwest, the majority of French industrial basins were affected.  </w:t>
        <w:br/>
        <w:t xml:space="preserve">A case revealed through leniency  </w:t>
        <w:br/>
        <w:t xml:space="preserve">The Competition Authority (at the time the Competition Council) was informed of the existence of this agreement by the company Solvadis, which sought the benefit of the leniency procedure. The groups Brenntag and Univar subsequently submitted requests for leniency.  </w:t>
        <w:br/>
        <w:t xml:space="preserve">The leniency procedure allows, under certain conditions, the first company that reveals to the Competition Authority an agreement in which it participated to obtain a total exemption from financial penalties. Companies that subsequently request to benefit from it can obtain a partial exemption from penalties depending, in particular, on their order of arrival at the Authority, the added value of the information provided, as well as their full cooperation during the procedure.  </w:t>
        <w:br/>
        <w:t xml:space="preserve">The sector of chemical commodity distribution  </w:t>
        <w:br/>
        <w:t xml:space="preserve">The decision issued by the Competition Authority concerns the sector of chemical commodity distribution.  </w:t>
        <w:br/>
        <w:t xml:space="preserve">Chemical commodities, produced by major chemical groups (Exxon, Shell, BP, Solvay, Rhodia, BASF…) are the basic raw materials primarily derived from mineral chemistry and petrochemistry such as solvents, alcohols, acids, ethers, bleach, and soda. They are used in many sectors: chemical industry, agri-food, automotive, hospital and private laundries, water treatment, armaments, concrete industry, disinfection and cleaning industry, paint manufacturing, mechanical and aeronautical industries, textile industry, etc. Commodities are sold either directly by producers for large volumes, or marketed by intermediaries, such as distributors, for small volumes. The practices in question concern the distributors.  </w:t>
        <w:br/>
        <w:t xml:space="preserve">Price coordination and customer allocation  </w:t>
        <w:br/>
        <w:t xml:space="preserve">The infringement was established between 1998 and mid-2005 in the four geographical areas where the storage sites of the concerned commodity distributors generated the lowest results: Burgundy, Rhône-Alpes, West, and North.  </w:t>
        <w:br/>
        <w:t xml:space="preserve">Representatives of the companies Solvadis, Brenntag, Univar, and Caldic, present according to the areas, met secretly and regularly in hotels or restaurants or communicated by phone, sometimes on dedicated lines to avoid any trace of these communications, to allocate customers and coordinate prices.  </w:t>
        <w:br/>
        <w:t xml:space="preserve">• Customer allocation  </w:t>
        <w:br/>
        <w:t xml:space="preserve">Customers were distinguished based on whether they regularly put the distributors in competition or not. The former were subject to an organized allocation in the form of "rounds" aimed at alternately assigning customers among the participants in the agreements. This system relied on cover offers presenting as the best bid the proposal of a distributor who was secretly pre-designated by the members of the agreement as the one expected to win the market. The second category of customers, less price-sensitive and more loyal to the distributors, was subject to a non-aggression pact whereby each distributor refrained from actively soliciting these customers. This resulted in a freeze on each distributor's customer portfolios.  </w:t>
        <w:br/>
        <w:t xml:space="preserve">• Price coordination  </w:t>
        <w:br/>
        <w:t xml:space="preserve">The prices offered to the customers of the distributors were also set collectively. The documents or statements from the parties refer to "cartel pricing" or "common prices."  </w:t>
        <w:br/>
        <w:t xml:space="preserve">• Implementation of monitoring  </w:t>
        <w:br/>
        <w:t xml:space="preserve">The implementation of the agreement was closely monitored to ensure that no participant deviated from the established rules. Checks with customers could be carried out as well as reminders of the operational rules of the agreement.  </w:t>
        <w:br/>
        <w:t xml:space="preserve">A large-scale collusion that involved the main distributors of chemical commodities and impacted almost all of their customers supplied by the concerned storage sites, notably SMEs  </w:t>
        <w:br/>
        <w:t xml:space="preserve">The numerous pieces of evidence and statements from participants in the infringement established the existence of the agreement in at least 4 geographical areas covering a very large part of French territory (36 departments). With the exception of Île-de-France and the Southwest, the vast majority of the major French industrial basins were affected by the practices. Large industrial groups (Thomson, Seb, Saint-Gobain…) as well as many French SMEs, such as laundries, and public hospital establishments (CHU of Dijon, for example) were thus victims of the agreement, being forced to pay more for their raw material supplies.  </w:t>
        <w:br/>
        <w:t xml:space="preserve">A cartel constitutes one of the most serious infringements of competition rules, as it confiscates, to the benefit of the authors of the infringement, the profit that downstream companies in the value chain and consumers – in this case, industrial clients or SMEs-PMIs, even public authorities purchasing chemical commodities – are entitled to expect from the normal functioning of the economy. This practice is all the more serious in this case as it simultaneously concerned several key parameters of competitive play (prices, customers).  </w:t>
        <w:br/>
        <w:t xml:space="preserve">The sanctions imposed  </w:t>
        <w:br/>
        <w:t xml:space="preserve">The Authority set the amount of the sanctions taking into account the severity of the facts, the importance of the damage caused to the economy (beyond just the sector covered by the cartel), and the individual situation of the participants (some of whom belong to large groups, of European or even global dimension).  </w:t>
        <w:br/>
        <w:t xml:space="preserve">The sanctions are, however, lower than they could have been due to the leniency procedure. In granting reductions in this regard, the Authority took into account, in particular, the order of arrival and the elements provided by the leniency applicants. In this regard, it granted total immunity from sanctions to Solvadis, the first company to reveal the infringement (which faced a sanction of 13 million euros). GEA Group, which was not part of the leniency request, was sanctioned as the parent company of Solvadis at the time of the facts.  </w:t>
        <w:br/>
        <w:t xml:space="preserve">Brenntag and Univar, the 2nd and 3rd leniency applicants, had their sanctions reduced by 25% and 20%, respectively. Furthermore, Univar benefited from an additional reduction of 15% for not contesting the charges. For their part, Caldic Est and GEA, which also did not contest the charges, obtained a 20% reduction in sanctions.  </w:t>
        <w:br/>
        <w:t>Regarding Brenntag, the Authority also took into account its central role in the cartel: as the pivot of the agreement, it initiated it in three regions and exercised oversight over it.</w:t>
      </w:r>
    </w:p>
    <w:p>
      <w:r>
        <w:rPr>
          <w:b/>
        </w:rPr>
        <w:t>[Pages 184–186]</w:t>
      </w:r>
    </w:p>
    <w:p>
      <w:r>
        <w:t>The sanctions imposed:</w:t>
        <w:br/>
        <w:t>Solvadis 0 euros</w:t>
        <w:br/>
        <w:t>GEA Group (parent company of Solvadis at the time of the facts) 9,405,279 euros</w:t>
        <w:br/>
        <w:t>Brenntag, jointly and severally with DBML, its parent company at the time of the facts 47,802,789 euros</w:t>
        <w:br/>
        <w:t>DBML 5,311,422 euros</w:t>
        <w:br/>
        <w:t>Univar 15,180,461 euros</w:t>
        <w:br/>
        <w:t>Caldic Est 1,335,036 euros</w:t>
        <w:br/>
        <w:t>Total 79,034,987 euros</w:t>
        <w:br/>
        <w:t>The Authority also sanctioned a second agreement between Brenntag and Chemco aimed, from January 31, 2000, to March 2007, at dividing the deliveries of methanol orders from GKN Driveline and jointly setting prices for this client. Brenntag obtained total immunity from sanctions. DBML will have to pay a fine of 50,916 euros, as the parent company of Brenntag at the time of the facts. Chemco will have to pay a fine of 10,000 euros.</w:t>
      </w:r>
    </w:p>
    <w:p>
      <w:r>
        <w:t>DECISION</w:t>
        <w:br/>
        <w:t>Article 1: It is established that the companies Brenntag SA, Caldic Est SASU, Solvadis France, and Univar SAS, as authors of the practices, as well as the companies DB Mobility Logistics AG, Brenntag France Holding SAS, Brenntag Foreign Holding GmbH, Brenntag Beteiligungs GmbH, Brenntag Holding GmbH, GEA Group Aktiengesellschaft, Solvadis GmbH, Solvadis Holding SARL, Univar NV, Univar Europe Holdings BV, Univar France BV, and Univar France SNC, in their capacity as parent companies, have violated the provisions of Article L. 420-1 of the Commercial Code as well as those of Article 101 of the Treaty on the Functioning of the European Union by implementing an anti-competitive agreement aimed at stabilizing their market shares and increasing their margins through customer allocations and price coordination.</w:t>
        <w:br/>
        <w:t>Article 2: It is established that the companies Brenntag SA and Chemco France SARL, as authors of the practices, as well as the companies DB Mobility Logistics AG, Brenntag France Holding SAS, Brenntag Foreign Holding GmbH, Brenntag Beteiligungs GmbH, Brenntag Holding GmbH, and Brachem France Holding SAS, in their capacity as parent companies, have violated the provisions of Article L. 420-1 of the Commercial Code by implementing an anti-competitive agreement consisting of a division of deliveries and price fixing.</w:t>
        <w:br/>
        <w:t>Article 3: The companies Deutsche Bahn AG and E.ON AG are exonerated from the grievances referred to in Article 1 and Article 2.</w:t>
        <w:br/>
        <w:t>Article 4: The following financial penalties are imposed for the practices referred to in Article 1:</w:t>
        <w:br/>
        <w:t>• 47,802,789 euros on the company Brenntag SA, jointly and severally with DB Mobility Logistics AG;</w:t>
        <w:br/>
        <w:t>• 5,311,422 euros on the company DB Mobility Logistics AG;</w:t>
        <w:br/>
        <w:t>• 1,335,036 euros on the company Caldic Est SASU;</w:t>
        <w:br/>
        <w:t>• 9,405,279 euros on the company GEA Group AG;</w:t>
        <w:br/>
        <w:t>• 15,180,461 euros on the company Univar SAS.</w:t>
        <w:br/>
        <w:t>Article 5: The company Solvadis France and its parent companies are exempt from financial penalties for the practices referred to in Article 1, pursuant to IV of Article L. 464-2 of the Commercial Code.</w:t>
        <w:br/>
        <w:t>Article 6: The following financial penalties are imposed for the practices referred to in Article 2:</w:t>
        <w:br/>
        <w:t>• 10,000 euros on the company Chemco France SARL;</w:t>
        <w:br/>
        <w:t>• 50,916 euros on the company DB Mobility Logistics AG.</w:t>
        <w:br/>
        <w:t>Article 7: The company Brenntag SA is exempt from financial penalties for the practice referred to in Article 2, pursuant to IV of Article L. 464-2 of the Commercial Code.</w:t>
        <w:br/>
        <w:t>Article 8: The legal entities referred to in Article 1 and Article 2 shall publish at their joint expense the text appearing in paragraph 1139 of this decision in the newspapers "Les Echos" and "L’Usine nouvelle," respecting the formatting. This publication will occur in a box in black characters on a white background with a height of at least three millimeters under the following title, in bold characters of the same size: "Decision of the Competition Authority No. 13-D-12 of May 28, 2013, regarding practices implemented in the sector of the marketing of chemical commodities." It may be followed by a mention that the decision has been appealed to the Court of Appeal of Paris if such appeals are filed. The concerned legal entities will send, by registered mail, to the procedure office, a copy of this publication, as soon as it is published and no later than July 29, 2013.</w:t>
        <w:br/>
        <w:t>Deliberated on the oral report of Ms. Gaëlle Le Breton and Ms. Christine Miller and Mr. Pierre Larcher, rapporteurs, and the oral intervention of Mr. Éric Cuziat, deputy general rapporteur, by Mr. Emmanuel Combe, vice-president, president of the session, Ms. Reine-Claude Mader-Saussaye, Ms. Laurence Idot, and Mr. Yves Brissy, members.</w:t>
        <w:br/>
        <w:t>The session secretary, The session president,</w:t>
        <w:br/>
        <w:t>Caroline Orsel-Sébès 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