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https://www.autoritedelaconcurrence.fr/fr/decision/relative-des-pratiques-mises-en-oeuvre-dans-le-secteur-de-la-commercialisation-des-2</w:t>
      </w:r>
    </w:p>
    <w:p>
      <w:r>
        <w:t>Pages translated : 38</w:t>
      </w:r>
    </w:p>
    <w:p/>
    <w:p>
      <w:r>
        <w:rPr>
          <w:b/>
        </w:rPr>
        <w:t>[Pages 1–3]</w:t>
      </w:r>
    </w:p>
    <w:p>
      <w:r>
        <w:t xml:space="preserve">FRENCH REPUBLIC  </w:t>
        <w:br/>
        <w:t xml:space="preserve">Decision No. 19-D-17 of July 30, 2019  </w:t>
        <w:br/>
        <w:t xml:space="preserve">regarding practices implemented in the sector of  </w:t>
        <w:br/>
        <w:t xml:space="preserve">the marketing of liquid fertilizers for soilless production  </w:t>
        <w:br/>
        <w:t xml:space="preserve">dedicated to domestic cultivation  </w:t>
        <w:br/>
        <w:t xml:space="preserve">The Competition Authority (section II),  </w:t>
        <w:br/>
        <w:t xml:space="preserve">Having regard to Decision No. 14-SO-07 of October 28, 2014, registered under number 14/0082 F, by which the Competition Authority initiated proceedings ex officio regarding practices implemented in the sector of the marketing of liquid fertilizers dedicated to domestic gardening;  </w:t>
        <w:br/>
        <w:t xml:space="preserve">Having regard to Decision No. 18-D-26 of December 20, 2018, regarding practices implemented in the sector of the marketing of liquid fertilizers for soilless production dedicated to domestic cultivation;  </w:t>
        <w:br/>
        <w:t xml:space="preserve">Having regard to the Treaty on the Functioning of the European Union (TFEU), and in particular, the first paragraph of Article 101;  </w:t>
        <w:br/>
        <w:t xml:space="preserve">Having regard to Book IV of the Commercial Code and in particular its Article L. 420-1;  </w:t>
        <w:br/>
        <w:t xml:space="preserve">Having regard to the decision of the General Rapporteur of February 21, 2019, made pursuant to Article L. 463-3 of the Commercial Code, which provides that the case will be subject to a decision by the Authority without prior establishment of a report;  </w:t>
        <w:br/>
        <w:t xml:space="preserve">Having regard to the business secrecy decisions No. 17-DSA-338 of August 16, 2017, No. 17-DSA-363 of August 30, 2017, No. 17-DSA-408 of October 11, 2017, No. 17-DSA-410 of October 11, 2017, No. 17-DSA-413 of October 11, 2017, No. 18-DSA-119 of April 23, 2018, No. 18-DSA-266 of August 22, 2018;  </w:t>
        <w:br/>
        <w:t xml:space="preserve">Having regard to the observations presented by the companies Agrotechniek B.V., C.I.S, Hydro Factory, Hydro Logistique, and the Government Commissioner;  </w:t>
        <w:br/>
        <w:t xml:space="preserve">Having regard to the other documents in the file;  </w:t>
        <w:br/>
        <w:t xml:space="preserve">The General Rapporteur, the Government Commissioner, and the representatives of the companies Agrotechniek B.V., Hydro Factory, and Hydro Logistique, heard during the Authority's session on June 11, 2019, the company C.I.S having been duly summoned;  </w:t>
        <w:br/>
        <w:t>Adopts the following decision:</w:t>
      </w:r>
    </w:p>
    <w:p>
      <w:r>
        <w:t xml:space="preserve">Summary1  </w:t>
        <w:br/>
        <w:t xml:space="preserve">Following Decision No. 18-D-26 of December 20, 2018, regarding practices implemented in the sector of the marketing of liquid fertilizers for soilless production dedicated to domestic cultivation, the Competition Authority sanctions the companies Agrotechniek BV, C.I.S, and Hydro Factory/Hydro Logistique, active in the sector, for vertical price-fixing agreements between producers and wholesalers, contrary to Articles 101(1) of the TFEU and L. 420-1 of the Commercial Code.  </w:t>
        <w:br/>
        <w:t xml:space="preserve">The company Agrotechniek Metrop, a producer of liquid fertilizers, had been dissolved shortly before the notification of the grievances that led to this decision. This change, occurring during the investigation, led the Authority to suspend its ruling on the practices involving this company and to refer the matter for further investigation so that a notification of grievances could be addressed to Agrotechniek B.V., which ensures the economic continuity of Agrotechniek Metrop.  </w:t>
        <w:br/>
        <w:t xml:space="preserve">By this decision, the Authority sanctions Agrotechniek B.V. as well as its wholesalers Hydro Factory/Hydro Logistique and C.I.S for having colluded, between 2010 and 2013, on the resale prices of Metrop products.  </w:t>
        <w:br/>
        <w:t xml:space="preserve">The Authority has followed its consistent decision-making practice regarding vertical price-fixing agreements, according to which, even though they are not viewed as severely as horizontal agreements, they are nonetheless among the most serious anti-competitive practices. Indeed, even if competition between brands (inter-brand competition) remains, such practices, beneficial for both suppliers and distributors, tend to eliminate competition within the same brand (intra-brand competition), while consumers, as is the case here, may be attached to the brands.  </w:t>
        <w:br/>
        <w:t xml:space="preserve">The Authority also noted that the observed practices involved measures of monitoring, policing, and retaliation, including the cessation of supply to the retailer Indoorgrowing for not adhering to the prices imposed by Metrop, which serves to enhance the seriousness of the practices in question.  </w:t>
        <w:br/>
        <w:t xml:space="preserve">The Authority imposed a fine of 13,000 euros on the producer Metrop, and 11,000 euros on the company C.I.S. No fine was imposed on Hydro Factory/Hydro Logistique, as this company had faced serious difficulties and was to be placed in judicial liquidation shortly.  </w:t>
        <w:br/>
        <w:t xml:space="preserve">1 This summary is strictly informative. Only the reasons for the decision numbered below are authoritative.  </w:t>
        <w:br/>
        <w:t>2</w:t>
      </w:r>
    </w:p>
    <w:p>
      <w:r>
        <w:t xml:space="preserve">SUMMARY  </w:t>
        <w:br/>
        <w:t xml:space="preserve">I. Findings ............................................................................................................. 4  </w:t>
        <w:br/>
        <w:t xml:space="preserve">A. Reminder of the procedure ............................................................................. 4  </w:t>
        <w:br/>
        <w:t xml:space="preserve">B. The sector and the companies concerned ......................................................... 5  </w:t>
        <w:br/>
        <w:t xml:space="preserve">1. The sector of the marketing of liquid fertilizers dedicated to domestic gardening in soilless cultivation .................................................................................. 5  </w:t>
        <w:br/>
        <w:t xml:space="preserve">2. The companies concerned .............................................................................. 7  </w:t>
        <w:br/>
        <w:t xml:space="preserve">C. The observed practices .................................................................................. 10  </w:t>
        <w:br/>
        <w:t xml:space="preserve">1. The distribution of Metrop products ............................................................... 10  </w:t>
        <w:br/>
        <w:t xml:space="preserve">2. The dissemination of resale price lists for Metrop products .......................... 11  </w:t>
        <w:br/>
        <w:t xml:space="preserve">3. The system of monitoring and retaliation established by Metrop and its wholesalers C.I.S and Hydro Factory/Hydro Logistique against independent retailers not adhering to these retail prices .......................................................... 13  </w:t>
        <w:br/>
        <w:t xml:space="preserve">4. The adherence to minimum prices imposed by Metrop both at the level of retail resale prices by distributors and retailers and at the level of wholesale prices practiced by wholesalers ................................................................. 16  </w:t>
        <w:br/>
        <w:t xml:space="preserve">D. Reminder of the notified grievance ................................................................ 19  </w:t>
        <w:br/>
        <w:t xml:space="preserve">II. Discussion ......................................................................................................... 19  </w:t>
        <w:br/>
        <w:t xml:space="preserve">A. On the language of procedure before the Authority ...................................... 19  </w:t>
        <w:br/>
        <w:t xml:space="preserve">B. On the applicability of Union law .................................................................. 21  </w:t>
        <w:br/>
        <w:t xml:space="preserve">C. On the merits of the notified grievance .......................................................... 21  </w:t>
        <w:br/>
        <w:t xml:space="preserve">1. On the relevant market .................................................................................. 21  </w:t>
        <w:br/>
        <w:t xml:space="preserve">2. On the grievance of vertical price-fixing ....................................................... 22  </w:t>
        <w:br/>
        <w:t xml:space="preserve">D. On the attribution of the practices .................................................................. 27  </w:t>
        <w:br/>
        <w:t xml:space="preserve">1. Reminder of the principles ............................................................................. 27  </w:t>
        <w:br/>
        <w:t xml:space="preserve">2. Application in this case .................................................................................. 28  </w:t>
        <w:br/>
        <w:t xml:space="preserve">E. On the sanctions ............................................................................................. 29  </w:t>
        <w:br/>
        <w:t xml:space="preserve">1. Principles ......................................................................................................... 29  </w:t>
        <w:br/>
        <w:t xml:space="preserve">2. On the determination of the base amount of the sanctions .......................... 30  </w:t>
        <w:br/>
        <w:t xml:space="preserve">3. On the individualization of the sanctions ....................................................... 36  </w:t>
        <w:br/>
        <w:t xml:space="preserve">4. On the final adjustments ............................................................................... 36  </w:t>
        <w:br/>
        <w:t xml:space="preserve">DECISION .................................................................................................................. 38  </w:t>
        <w:br/>
        <w:t>3</w:t>
      </w:r>
    </w:p>
    <w:p>
      <w:r>
        <w:rPr>
          <w:b/>
        </w:rPr>
        <w:t>[Pages 4–6]</w:t>
      </w:r>
    </w:p>
    <w:p>
      <w:r>
        <w:t xml:space="preserve">I. Findings  </w:t>
        <w:br/>
        <w:t xml:space="preserve">A. REMINDER OF THE PROCEDURE  </w:t>
        <w:br/>
        <w:t xml:space="preserve">1. By decision No. 14-SO-07 of October 28, 2014, registered under number 14/0082 F, the Competition Authority (hereinafter "the Authority") initiated proceedings ex officio regarding practices implemented in the sector of marketing liquid fertilizers dedicated to domestic gardening.  </w:t>
        <w:br/>
        <w:t xml:space="preserve">2. This initiation follows the transmission of two investigation reports from the DGCCRF.  </w:t>
        <w:br/>
        <w:t xml:space="preserve">3. The investigation, conducted by the interregional competition investigation brigades (BIEC) of Île-de-France, Haute and Basse-Normandie, La Réunion, Saint-Pierre-et-Miquelon, and Mayotte, originated from a complaint by an independent retailer, manager of the Indoorgrowing store in Aucamville (31140), formerly located in Toulouse (31500). This retailer, who made 60% of his purchases from Hydro Factory, reported the practices of the sales representatives of Agrotechniek Metrop who had repeatedly asked him to increase the selling prices of their products. Following his refusal, the wholesaler Hydro Factory ceased to supply him, not only with Metrop products but also for all the products that Indoorgrowing procured from them (references 383 to 389 and 397 to 401).  </w:t>
        <w:br/>
        <w:t xml:space="preserve">4. A search and seizure operation was conducted by the DGCCRF on December 12, 2013, within the companies C.I.S (Culture Indoor), Hydro Factory, and Hydro Logistique (Indoor Gardens). Additional investigations were also carried out with retail distributors.  </w:t>
        <w:br/>
        <w:t xml:space="preserve">5. The first administrative investigation report prepared by the DGCCRF, transmitted on August 22, 2014, concluded that the Dutch producer of fertilizers Agrotechniek Metrop had established a strategy allowing it to control the application in France of the minimum selling price of its brand products, in wholesale and retail, online and in stores. This strategy was based in particular on the active collaboration of its two main wholesalers, who were also online retailers and at the head of the two largest retail distribution networks in the French indoor gardening market and its dedicated fertilizers, namely C.I.S and Hydro Factory (reference 4).  </w:t>
        <w:br/>
        <w:t xml:space="preserve">6. The second administrative investigation report prepared by the DGCCRF, transmitted to the Authority on October 21, 2014, established that other producers of liquid fertilizers (the companies Canna France, Bertels B.V., General Hydroponics Europe, Biobizz Holding B.V., and Bio Nova) had also implemented a control of minimum selling prices (references 206 to 342 and 2449 to 2450).  </w:t>
        <w:br/>
        <w:t xml:space="preserve">7. By a decision of April 25, 2018, made pursuant to Articles L. 463-3 and R. 463-12 of the Commercial Code, the General Rapporteur decided that the case would be examined by the Authority without prior establishment of a report.  </w:t>
        <w:br/>
        <w:t xml:space="preserve">8. In accordance with the provisions mentioned above, a simplified notification of grievances was sent to the companies Agrotechniek Metrop, Canna France, JMB Holding B.V., General Hydroponics Europe, Bertels Vastgoed B.V., Bertels B.V., QB Beheer B.V., BioBizz France, Biobizz Holding B.V., Biobizz Worldwide B.V., C.I.S, Hydro Factory, Hydro Logistique, and to the Government Commissioner on May 4, 2018.  </w:t>
        <w:br/>
        <w:t xml:space="preserve">9. By decision No. 18-D-26 of December 20, 2018, concerning practices implemented in the sector of marketing liquid fertilizers for off-soil production dedicated to domestic cultivation, the Authority sanctioned the producers Canna France, General Hydroponics Europe, Bertels, and Biobizz and their wholesale distributors Hydro Factory/Hydro Logistique and C.I.S for having colluded, between 2010 and 2013, the precise period varying according to the companies involved, to set the resale prices of their products.  </w:t>
        <w:br/>
        <w:t xml:space="preserve">10. Regarding the practices implemented by the producer Agrotechniek Metrop and the wholesale distributors Hydro Factory/Hydro Logistique and C.I.S (grievance No. 1), the Authority found that the company Agrotechniek Metrop had been dissolved prior to the sending of the notification of grievances and that it did not have additional information either on the situation of this company since its dissolution or on the possible resumption of its activity by a new company that could be held accountable for the actions referred to in the notification of grievances. Consequently, it separated grievance No. 1 from the rest of the procedure, suspended the ruling on the practices related to grievance No. 1, and referred the matter for further investigation to clarify these various points.  </w:t>
        <w:br/>
        <w:t xml:space="preserve">11. By a decision of February 21, 2019, made pursuant to Articles L. 463-3 and R. 463-12 of the Commercial Code, the General Rapporteur decided that the case would be examined by the Authority without prior establishment of a report.  </w:t>
        <w:br/>
        <w:t xml:space="preserve">12. In accordance with the provisions mentioned above, a simplified notification of grievances was sent on February 21, 2019, to the company Agrotechniek B.V., which ensures the economic continuity of the company Agrotechniek Metrop, the company responsible for the practices that no longer exist today, as well as to the companies Hydro Factory/Hydro Logistique and C.I.S. Only these companies are concerned by the present decision.  </w:t>
        <w:br/>
        <w:t xml:space="preserve">B. THE SECTOR AND THE COMPANIES INVOLVED  </w:t>
        <w:br/>
        <w:t xml:space="preserve">1. THE SECTOR OF MARKETING LIQUID FERTILIZERS DEDICATED TO DOMESTIC GARDENING IN OFF-SOIL CULTIVATION  </w:t>
        <w:br/>
        <w:t xml:space="preserve">13. "Fertilizing materials" are defined in Article L. 255-1 of the Rural and Maritime Fishing Code as "products intended to ensure or improve the nutrition of plants or the physical, chemical, and biological properties of soils. They include, in particular:  </w:t>
        <w:br/>
        <w:t xml:space="preserve">1° Fertilizers intended to provide plants with elements directly useful for their nutrition. These may be major or secondary fertilizing elements or trace elements;  </w:t>
        <w:br/>
        <w:t xml:space="preserve">2° Amendments intended to modify or improve the physical, chemical, or biological properties of soils;  </w:t>
        <w:br/>
        <w:t xml:space="preserve">3° Materials whose function, once applied to the soil or on the plant, is to stimulate natural processes of the plants or the soil, in order to facilitate or regulate their absorption of nutrients or to improve their resistance to abiotic stresses."  </w:t>
        <w:br/>
        <w:t xml:space="preserve">14. Growth or development stimulators for plants and agronomic additives that improve plant nutrition otherwise than by providing nutrients, for example by promoting root development, are legally classified as fertilizing materials.  </w:t>
        <w:br/>
        <w:t xml:space="preserve">15. The marketing of fertilizing materials is governed by European and national regulatory provisions.  </w:t>
        <w:br/>
        <w:t xml:space="preserve">16. Regulation (EC) No 2003/2003 of October 13, 2003, as amended, authorizes the marketing, with the specific labeling "EC Fertilizer," of certain types of mineral fertilizers listed in its Annex I - List of EC Fertilizer Types.  </w:t>
        <w:br/>
        <w:t xml:space="preserve">17. The marketing of fertilizing materials outside "EC Fertilizers" is regulated, with some exceptions, by Articles L. 255-1 and following of the Rural and Maritime Fishing Code. Fertilizing materials may be marketed, imported, held for sale, sold, distributed free of charge, or used in France, provided they are covered by a marketing authorization (AMM) issued by the National Agency for Food, Environmental and Occupational Health Safety (ANSES) or by an introduction permit, under the conditions set out in Article L. 255-7 of the Rural Code. This procedure aims to verify, prior to marketing, the safety and efficacy of the products concerned.  </w:t>
        <w:br/>
        <w:t xml:space="preserve">18. Fertilizers and additives can exist in three distinct forms: solid, liquid, or gaseous.  </w:t>
        <w:br/>
        <w:t xml:space="preserve">19. Off-soil cultivation, or hydroponics, which is both productive and water-efficient, is a cultivation technique that uses renewed nutrient solutions and an inert substrate (mineral or plant) allowing for the absence of soil support and contributions. It requires specific fertilizers that provide the essential nutrients and minerals to the plant and are presented in liquid form.  </w:t>
        <w:br/>
        <w:t xml:space="preserve">20. It is widely used in urban agriculture, horticulture, and vegetable crops, as well as in the cultivation of exotic plants by amateur gardeners and cannabis growers.  </w:t>
        <w:br/>
        <w:t xml:space="preserve">21. There are approximately twenty producers of liquid fertilizers for off-soil cultivation, mostly Dutch or Anglo-Saxon (references 26 to 28).  </w:t>
        <w:br/>
        <w:t xml:space="preserve">22. The demand comes from informed customers practicing a certain type of gardening ("indoor"), familiar with the brands and willing to pay for quality products, different from those used for traditional gardening ("outdoor").  </w:t>
        <w:br/>
        <w:t xml:space="preserve">23. According to the first investigation report, the market for liquid fertilizers for hydroponic cultivation can be considered a "niche market, characterized by technical products but with simplified use and adapted marketing [whose] philosophy [would be] to provide individuals and professionals with the cultivation supports and fertilizers to democratize off-soil cultivation" (reference 22).  </w:t>
        <w:br/>
        <w:t>24. While the distribution of gardening items at the national level (valued at €7.5 billion) is historically organized around large DIY stores (GSB - 30% of sales in 2012), garden centers (22%), large food stores (GSA - 19%), agricultural self-services (LISA - 15%), and specialists in motorized gardening equipment (8%), other channels (florists, hardware stores, producers, etc.) represent only 6%, there exists a specific distribution channel for fertilizers dedicated to off-soil gardening, justified by the nature of the products marketed and their marked differentiation from traditional gardening products.</w:t>
      </w:r>
    </w:p>
    <w:p>
      <w:r>
        <w:rPr>
          <w:b/>
        </w:rPr>
        <w:t>[Pages 7–9]</w:t>
      </w:r>
    </w:p>
    <w:p>
      <w:r>
        <w:t xml:space="preserve">25. According to the first investigation report, this circuit "is organized around a few specialized wholesalers and importers and the following three retail distribution channels:  </w:t>
        <w:br/>
        <w:t xml:space="preserve">- distribution networks (points of sale under franchise contracts, exclusive supply agreements, or simple brand usage authorization;  </w:t>
        <w:br/>
        <w:t xml:space="preserve">- independent points of sale;  </w:t>
        <w:br/>
        <w:t>- online merchants (notably "pure players")" (reference 23).</w:t>
      </w:r>
    </w:p>
    <w:p>
      <w:r>
        <w:t>26. Specialized distributors market growing environments, substrates, all suitable liquid fertilizing products, and generally exclude the sale of plants and seedlings (references 22 and 23).</w:t>
      </w:r>
    </w:p>
    <w:p>
      <w:r>
        <w:t>27. They are supplied by about ten wholesalers, the most significant at the time of the events being the companies Hydro Factory and C.I.S, which alone represented, according to the manager of Hydro Factory, 60% of the wholesale market (reference 1685). Wholesalers supply retailers but can also operate one or more direct-to-consumer websites. These commercial sites generally bear the name of the distribution network developed by the wholesaler and serve as advertising showcases for all points of sale in the network.</w:t>
      </w:r>
    </w:p>
    <w:p>
      <w:r>
        <w:t>28. At the retail stage, there are also "pure players" or distributors present only online. These distributors can use the logistical capabilities of other wholesalers (Hydro Factory, Florateck for example) to deliver to individuals. These are referred to as "drop shipping" or "direct delivery" websites (reference 3826).</w:t>
      </w:r>
    </w:p>
    <w:p>
      <w:r>
        <w:t>29. Finally, there are traditional retailers ("brick-and-mortar"), either independent or belonging to a network. The two most significant networks are the Culture Indoor network, linked to the wholesaler C.I.S, and the Indoor Gardens network, linked to the wholesaler Hydro Factory, both of which have a dedicated website. The retail sale of materials and fertilizing products intended for domestic cultivation primarily fits within the landscape of local distribution (reference 23).</w:t>
      </w:r>
    </w:p>
    <w:p>
      <w:r>
        <w:t xml:space="preserve">2. THE COMPANIES INVOLVED  </w:t>
        <w:br/>
        <w:t>30. As previously indicated, only the companies Agrotechniek B.V, ensuring the economic continuity of Agrotechniek Metrop, C.I.S, and Hydro Factory/Hydro Logistique are concerned by this decision.</w:t>
      </w:r>
    </w:p>
    <w:p>
      <w:r>
        <w:t xml:space="preserve">a) The producer Agrotechniek B.V.  </w:t>
        <w:br/>
        <w:t>31. The company Agrotechniek Metrop (Netherlands DUNS No. 3S73065S2 KvK No. 30142480) (hereinafter "Metrop") was a Dutch legal entity, managed by Mr. X…, its founder, which produced and internationally distributed a range of highly concentrated liquid fertilizers (fertilizers, growth stimulators, flowering stimulators, etc.) specifically dedicated to horticulture and domestic cultivation, notably soilless. The headquarters of this company was located at Rustenburg 5, 3405DV Benschop in the Netherlands.</w:t>
      </w:r>
    </w:p>
    <w:p>
      <w:r>
        <w:t>32. On April 3, 2018, the company Agrotechniek Metrop was removed from the Dutch Trade and Companies Register ("Netherlands Chamber of Commerce Business"). However, it was registered on the same date that the management of the company would continue to be ensured by Agrotechniek B.V., registered since March 30, 2018, in the Trade and Companies Register under No. KvK 71322876 and domiciled in the Netherlands, Edisonweg 32, 3404LC IJsselstein (references 5830-5833).</w:t>
      </w:r>
    </w:p>
    <w:p>
      <w:r>
        <w:t>33. Regarding the products marketed by this company, it results from the statements of the manager of Hydro Factory, unrefuted by the elements in the file, that "METROP products have the particularity of being highly concentrated (...) From a pricing perspective, the prices of METROP products, which are in the upper range of the categories, are notably linked to the concentration of said products" (reference 1687).</w:t>
      </w:r>
    </w:p>
    <w:p>
      <w:r>
        <w:t xml:space="preserve">b) The wholesalers  </w:t>
        <w:br/>
        <w:t xml:space="preserve">C.I.S  </w:t>
        <w:br/>
        <w:t>34. The company C.I.S (443 193 271 R.C.S. Meaux), trading under the name Culture Indoor, located at 32-34 Rue de la Régale in Courtry, is managed by Mr. Y…, Chief Executive Officer.</w:t>
      </w:r>
    </w:p>
    <w:p>
      <w:r>
        <w:t>35. The main activity of the company is the wholesale trade of items for domestic cultivation. It operates the retail website www.cultureindoor.com.</w:t>
      </w:r>
    </w:p>
    <w:p>
      <w:r>
        <w:t xml:space="preserve">36. It was initially at the head of a network of 37 distributors (references 553 and 554, this number has evolved since), linked by supply and brand usage contracts, which notably provided (references 1394 to 1404):  </w:t>
        <w:br/>
        <w:t xml:space="preserve">- an exclusive supply of 95% of the purchases of the point of sale, the distributor could not market references not distributed by C.I.S without prior written agreement from it;  </w:t>
        <w:br/>
        <w:t xml:space="preserve">- an exclusive supply commitment from the supplier to the retailer in a certain territory;  </w:t>
        <w:br/>
        <w:t xml:space="preserve">- an acceptance by the retailer that their "supplier may freely conduct their mail order business through their CULTUREINDOOR.COM site, without the distributor, [...], being able to claim any royalties or "back margins," even if the supplier's internet sales occur in the distributor's city";  </w:t>
        <w:br/>
        <w:t xml:space="preserve">- a right to use the brand and the Culture Indoor concept, in exchange for a royalty on total sales;  </w:t>
        <w:br/>
        <w:t xml:space="preserve">- a right of oversight by the supplier on advertisements and promotional campaigns implemented by the retailer;  </w:t>
        <w:br/>
        <w:t xml:space="preserve">- a "freely determined" resale price by the distributor for the supplier's products, after having "taken note of the resale prices recommended by the supplier, [which it] reserves the right to apply";  </w:t>
        <w:br/>
        <w:t xml:space="preserve">- a non-competition clause benefiting the supplier during the contract duration and up to two years after its termination;  </w:t>
        <w:br/>
        <w:t>- an adherence to the computer management system of the Culture Indoor network.</w:t>
      </w:r>
    </w:p>
    <w:p>
      <w:r>
        <w:t>37. According to C.I.S, "the website [Culture Indoor] is managed by ourselves. Each store has its own page on the site and has the possibility to ask us to modify certain elements. Everything displayed is at their request, notably the elements concerning the "web prices" (reference 1105).</w:t>
      </w:r>
    </w:p>
    <w:p>
      <w:r>
        <w:t>38. The company C.I.S primarily markets its products in France, with minimal sales abroad (reference 3826). It does not wish to develop an activity known as "drop shipping" or "direct delivery" (reference 1105).</w:t>
      </w:r>
    </w:p>
    <w:p>
      <w:r>
        <w:t>39. Its total revenue, including income related to its wholesale trade activity, those related to the use of the Culture Indoor brand at the head of the network of the same name, and products from direct sales on the site www.cultureindoor.com, amounted to 15.5 million euros in 2012 (references 1154 to 1169).</w:t>
      </w:r>
    </w:p>
    <w:p>
      <w:r>
        <w:t>40. According to the statements of the managers of C.I.S and Hydro Factory, C.I.S would be the leader in the French market. It would represent about 30% of the fertilizer market and also 30% of the distribution market (references 1685 and 3826). Furthermore, the total revenue of its network of retailers under the Culture Indoor brand would be between 25 and 30 million euros.</w:t>
      </w:r>
    </w:p>
    <w:p>
      <w:r>
        <w:t xml:space="preserve">41. C.I.S distributes numerous brands of liquid fertilizers: Plagron (Bertels), Bio Nova, Biobizz, Canna, GHE, and Metrop.  </w:t>
        <w:br/>
        <w:t xml:space="preserve">Hydro Factory and Hydro Logistique  </w:t>
        <w:br/>
        <w:t>42. Hydro Factory (490 705 621 R.C.S. Compiègne) is engaged in the wholesale sale to professionals of indoor gardening products from the brands Metrop, Canna, GHE, Bertels, and Biobizz (fertilizers, minerals, ventilation systems, and climate control systems allowing the reproduction of climatic conditions conducive to soilless cultivation (temperature, humidity), etc.). The company's headquarters is located at 6, route de la Seigneurie, 60520 Lamorlaye.</w:t>
      </w:r>
    </w:p>
    <w:p>
      <w:r>
        <w:t>43. Hydro Logistique (508 858 065 R.C.S. Pontoise) was created in 2008 by the manager of Hydro Factory to separate wholesale from online retail sales via the website www.indoorgardens.fr (reference 1684). Its headquarters, initially located at chemin du Jacloret 95820 Bruyeres sur Oise, was during the investigation in the process of being transferred to Lamorlaye (reference 3176). Hydro Logistique's activities, in addition to operating the retail website www.indoorgardens.fr, include "drop shipping" services on behalf of third-party sellers. Both companies are managed and represented by Mr. Z…, manager and sole partner (references 1715 and 1830).</w:t>
      </w:r>
    </w:p>
    <w:p>
      <w:r>
        <w:t>44. The entire stock of products belongs to Hydro Factory, which is also the sole owner of the Indoor Gardens brand. Hydro Factory invoices sales made via the site www.indoorgardens.fr to Hydro Logistique. According to the manager of these two companies, "Hydro Logistique should be seen as a service provider" (reference 3155).</w:t>
      </w:r>
    </w:p>
    <w:p>
      <w:r>
        <w:t>45. The Indoor Gardens store network, then composed of about 80 points of sale, was born from the desire of the purchasing center Hydro Factory to group independent retailers on the website www.indoorgardens.fr, also operated by Hydro Logistique (references 1685, 1686, and 1832).</w:t>
      </w:r>
    </w:p>
    <w:p>
      <w:r>
        <w:t xml:space="preserve">46. The opening of a store under the Indoor Gardens brand is subject to the authorization of Hydro Factory, as part of a selection process based on a written skills test for the candidate and an oral interview, as well as a geographical criterion (a list of available locations is available on the website www.indoorgardens.fr).  </w:t>
        <w:br/>
        <w:t>2 The elements below concern the period of the events and the investigation. For the current situation of these companies, see below, paragraph 228.</w:t>
      </w:r>
    </w:p>
    <w:p>
      <w:r>
        <w:rPr>
          <w:b/>
        </w:rPr>
        <w:t>[Pages 10–12]</w:t>
      </w:r>
    </w:p>
    <w:p>
      <w:r>
        <w:t>47. According to Hydro Factory, the selected retailers are not subject to any distribution contract and remain free regarding the products they distribute. They do not pay any entry fees or commissions on their sales, and Hydro Factory or its manager does not hold any shares in the companies operating these stores. Finally, according to Hydro Factory, the retailers in its network "do not have order management software tools, stock management related to Hydro Logistics and Hydro Factory" and are "free to determine their selling price" (reference 1686).</w:t>
      </w:r>
    </w:p>
    <w:p>
      <w:r>
        <w:t>48. In 2012, Hydro Factory's wholesale revenue reached 9.6 million euros (references 1760 to 1785), while Hydro Logistics (online sales on the website www.indoorgardens.fr) amounted to 1.6 million euros (references 1738 to 1759). In the fertilizer market, C.I.S estimates that Hydro Factory would represent approximately 25% of the market (reference 3826). According to the manager of Hydro Factory: "Regarding the financial elements of my group's activity, the wholesale activity (Hydro Factory) generated in 2012 a revenue of 9.6 million euros while the online 'drop shipping' activity (Hydro Logistics) generated in 2012 a revenue of 1,591,000 euros. The revenue of Hydro Logistics corresponds to online sales on indoorgardens.fr. (...) The Hydro Factory/Hydro Logistics group is the second operator in the market" (reference 1685).</w:t>
      </w:r>
    </w:p>
    <w:p>
      <w:r>
        <w:t>C. OBSERVED PRACTICES</w:t>
      </w:r>
    </w:p>
    <w:p>
      <w:r>
        <w:t>49. Vertical price-fixing practices were noted between 2010 and 2013 between the producer Metrop and its resellers, C.I.S and Hydro Factory/Hydro Logistics.</w:t>
      </w:r>
    </w:p>
    <w:p>
      <w:r>
        <w:t>1. THE DISTRIBUTION OF METROP PRODUCTS</w:t>
      </w:r>
    </w:p>
    <w:p>
      <w:r>
        <w:t>50. Historically, when establishing itself in France, Metrop addressed a single wholesaler, the company "Le petit hydroculteur." In 2010, it also distributed its products through the company LCDC and Hydro Factory, and in 2012, through the company C.I.S.</w:t>
      </w:r>
    </w:p>
    <w:p>
      <w:r>
        <w:t>51. Like other liquid fertilizers for soilless cultivation, Metrop products are sold to individuals:</w:t>
        <w:br/>
        <w:t>- by retailers (brick-and-mortar stores) who source from wholesalers;</w:t>
        <w:br/>
        <w:t>- online:</w:t>
        <w:br/>
        <w:t>- either on the websites of the leading wholesalers;</w:t>
        <w:br/>
        <w:t>- or on the websites of retailers (e.g., Mr. A...'s site indoorgrowing.fr).</w:t>
      </w:r>
    </w:p>
    <w:p>
      <w:r>
        <w:t>52. Metrop has its own website but does not engage in direct sales and refers to its "points of sale" (the various wholesalers) and to the "webshops" selling the brand's products.</w:t>
      </w:r>
    </w:p>
    <w:p>
      <w:r>
        <w:t>2. THE DISTRIBUTION OF RETAIL PRICE LISTS FOR METROP PRODUCTS</w:t>
      </w:r>
    </w:p>
    <w:p>
      <w:r>
        <w:t>a) The distribution by the producer Metrop to wholesalers of wholesale and retail resale price lists</w:t>
      </w:r>
    </w:p>
    <w:p>
      <w:r>
        <w:t>53. Retail price lists established by Metrop were seized from the wholesalers C.I.S and Hydro Factory/Hydro Logistics:</w:t>
        <w:br/>
        <w:t>- at the wholesaler Hydro Factory: years 2007/2008 (reference 1602); 2009 (reference 1603) (new prices applicable from July 1, 2009), which is strictly identical to the 2010-2011 list (reference 396) included in an email from the producer to a retailer; 2012/2013 (references 1539 and 1540); 2012/2014 (references 1541 and 1542);</w:t>
        <w:br/>
        <w:t>- at C.I.S: 2012-2013 price list (references 762, 946, and 947) valid, according to the producer, until 2014-2015.</w:t>
      </w:r>
    </w:p>
    <w:p>
      <w:r>
        <w:t>54. These price lists, which have identical presentations, contain the following elements:</w:t>
        <w:br/>
        <w:t>- the internal reference, the product name, and its packaging;</w:t>
        <w:br/>
        <w:t>- the required quantities (i.e., the minimum purchase quantities) set by the producer for wholesale sales;</w:t>
        <w:br/>
        <w:t>- the base price excluding tax for distributors, that is, the price applicable for sales to professionals (wholesalers or retailers);</w:t>
        <w:br/>
        <w:t>- the price excluding tax for distributors for an order exceeding 1,000 euros;</w:t>
        <w:br/>
        <w:t>- the retail price excluding tax.</w:t>
      </w:r>
    </w:p>
    <w:p>
      <w:r>
        <w:t>55. Some of these lists were accompanied by transmission emails, such as those sent to C.I.S on November 7, 2011, and March 15, 2012, reproduced below:</w:t>
        <w:br/>
        <w:t>"Dear C… /Attached is the price list for stores for 2012-2013-2014 (2015). /There will be a 27% discount on the column for orders &gt; 1000€./ For this year, the price is much lower with a 25% discount, but there is no longer a price list available./X…, Director, Metrop" (references 946, 947, and 1601, free translation);</w:t>
        <w:br/>
        <w:t>"(Attachments: Price List 2012 METROP.pdf) Good evening C…, here is the new price list, slight decrease in raw materials so the prices follow. The discount we granted you remains unchanged. Best regards, D… Metrop France" (reference 977).</w:t>
      </w:r>
    </w:p>
    <w:p>
      <w:r>
        <w:t>b) The distribution by the producer Metrop to retailers of retail resale price lists</w:t>
      </w:r>
    </w:p>
    <w:p>
      <w:r>
        <w:t>56. Metrop also distributed retail resale price lists to several retailers.</w:t>
      </w:r>
    </w:p>
    <w:p>
      <w:r>
        <w:t>57. For example, the president of Metrop sent the retailer Indoorgrowing, via an email dated September 3, 2010, a price list titled "pricelist shop 2010/2011," accompanied by the "selling price" (retail price excluding tax) for 19 products in the Metrop range and the following remarks: "Oh I forgot to include the price list with .../in the attachment you see. / if you see any other price breaker now and in the future… do not hesitate and contact me or Hydro Factory (…) X… Metrop" (references 394 and 396, free translation, emphasis added).</w:t>
      </w:r>
    </w:p>
    <w:p>
      <w:r>
        <w:t>58. Similarly, the president of Metrop responded via an email dated March 18, 2012, to the retailer Green House, who wished to sell Metrop products, that the sale of Metrop products was only possible if retail prices were respected, for which he provided the list for 2012-2014: "Hello F…, Yes, since this year, we are selling directly to a few stores and we have added some wholesalers to our distribution network in several countries. What would you like to do? Attached are the prices for the stores. We hope to maintain these prices for the next five years. Best regards, X…, Director, Metrop" (references 2452 and 2453, free translation, emphasis added).</w:t>
      </w:r>
    </w:p>
    <w:p>
      <w:r>
        <w:t>c) The distribution by wholesalers to retailers of retail resale price lists</w:t>
      </w:r>
    </w:p>
    <w:p>
      <w:r>
        <w:t>59. The distribution of Metrop products is mainly ensured by wholesalers who supply retailers.</w:t>
      </w:r>
    </w:p>
    <w:p>
      <w:r>
        <w:t>60. The dissemination of retail prices by wholesalers occurs through several means:</w:t>
        <w:br/>
        <w:t>- either by transmitting the lists to the retailer, via email or by providing them with dedicated software that generates these prices during invoicing;</w:t>
        <w:br/>
        <w:t>- or by applying the prices transmitted by Metrop on their own sales websites.</w:t>
      </w:r>
    </w:p>
    <w:p>
      <w:r>
        <w:t>61. In the first case, the producer only transmits the retail prices excluding tax, and the wholesalers, as evidenced by the price lists seized from C.I.S, calculate the retail prices including tax and display them alongside the prices excluding tax transmitted by Metrop. These efforts are illustrated by the list seized from C.I.S corresponding to reference 762, which includes, in addition to the prices including tax, the handwritten note "Entered on 05/01/2012."</w:t>
      </w:r>
    </w:p>
    <w:p>
      <w:r>
        <w:t>62. Several emails also attest to the transmission by Hydro Factory of the retail price list strictly identical to those appearing on its website to various retailers in the network:</w:t>
        <w:br/>
        <w:t>"Hello everyone, Here is a list of retail prices including tax for your retail clients. I have provided you with a 'V1' without total calculation and a 'V2' where you can simulate quotes for your clients. I also attach the modified October price list on the Teku pot(s) 7x7x8cm II there was a pricing error. (…) B…, Sales Manager" (reference 2477).</w:t>
        <w:br/>
        <w:t>"Hello Attached is a file containing our references for purchase prices excluding tax for stores. The VAT rate and the retail price including tax for stores. The packaging and the quantity discounts for purchase (…) Z…" (reference 2458).</w:t>
      </w:r>
    </w:p>
    <w:p>
      <w:r>
        <w:t>63. An email dated January 7, 2012, sent to Hydro Factory/Hydro Logistics by a member of its network (Green spirit), titled "pack metrop 5L margin too low," requesting to modify the resale price because "the margins are too low," reveals that these sales instructions disseminated by the leading wholesaler are being followed (references 1832 and 2524).</w:t>
      </w:r>
    </w:p>
    <w:p>
      <w:r>
        <w:t>64. The dissemination of retail prices also occurs through the purchase, stock, and sales management software called "API COMMERCE" implemented by the wholesaler C.I.S. This software, which retailers in the Culture Indoor network must use, under the agreement binding them to C.I.S, allows for the automatic generation of purchase orders for goods referenced in the database and to know the public selling price to apply to these same products.</w:t>
      </w:r>
    </w:p>
    <w:p>
      <w:r>
        <w:t>65. The updating of this database, both for product availability and for purchase prices from the Culture Indoor network's purchasing center as well as for selling prices to be applied to said products, is carried out by C.I.S (references 437 and 438).</w:t>
      </w:r>
    </w:p>
    <w:p>
      <w:r>
        <w:rPr>
          <w:b/>
        </w:rPr>
        <w:t>[Pages 13–15]</w:t>
      </w:r>
    </w:p>
    <w:p>
      <w:r>
        <w:t xml:space="preserve">66. A printed extract demonstrates that the software indicates the selling price to be applied for 12 product references of the Metrop brand. The prices listed in this table are strictly analogous to those recorded previously, in September 2013, for the same 12 references of this brand sold on the website www.cultureindoor.com (reference 441).  </w:t>
        <w:br/>
        <w:t xml:space="preserve">67. In the second case, the dissemination of retail prices by wholesalers is carried out by applying the "recommended" retail prices on their online sales sites.  </w:t>
        <w:br/>
        <w:t xml:space="preserve">68. Regarding the wholesaler C.I.S, the comparison of VAT-inclusive prices with the retail prices recorded on the website www.cultureindoor.com in 2012-2013 (references 405 to 415 and 424 to 425) reveals that the prices are systematically very slightly higher than those disseminated by the producer and thus that the company C.I.S clearly uses the retail prices communicated by Metrop to establish the retail pricing it applies and subsequently disseminates through its website.  </w:t>
        <w:br/>
        <w:t xml:space="preserve">69. Furthermore, a price list with a double header "Culture Indoor/Metrop" was seized in the office of Mr. C…, director of the company C.I.S, which includes the wholesale prices and those of retail sales appearing in the "pricelist shop" lists from July 1, 2009, and "pricelist shop" 2010-2011 disseminated by Metrop (references 803 and 804). While the typography, formatting, and Dutch language used might initially suggest that this document originated from Metrop, it appears that another price table seized in Mr. C…'s office is composed according to an identical double header layout, while it relates to the range of fertilizers of a competing brand, Canna (reference 804). It thus appears that the document relating to the prices of Metrop products was actually drafted by the company C.I.S and that it replicated the price grids communicated by Metrop to establish its own pricing grids for the resales it conducts in the retail market.  </w:t>
        <w:br/>
        <w:t xml:space="preserve">70. Regarding the wholesaler Hydro Factory/Hydro Logistique, the price surveys conducted on the Indoor Gardens website reveal that the retail prices on this website are almost systematically very slightly higher in 2012 and 2013 than those disseminated by the producer (references 127, 128, 402 to 404, 422 and 423). As for the prices practiced on the website in 2011 (references 2477 to 2523), the prices practiced are almost systematically either equal to or very slightly higher than those disseminated by the producer.  </w:t>
        <w:br/>
        <w:t xml:space="preserve">71. The companies Hydro Factory and Hydro Logistique thus use the retail prices communicated by Metrop to establish the retail pricing they apply and subsequently disseminate through the website www.indoorgardens.fr.  </w:t>
        <w:br/>
        <w:t xml:space="preserve">72. Furthermore, the fact that the store pages of both websites display one or more "web price" icons, namely the prices practiced in terms of retail sales on these sites, is intrinsically likely to encourage retailers from both networks to align their retail selling prices with the prices in question.  </w:t>
        <w:br/>
        <w:t xml:space="preserve">3. THE MONITORING AND RETALIATION SYSTEM ESTABLISHED BY METROP AND ITS WHOLESALERS C.I.S AND HYDRO FACTORY/HYDRO LOGISTIQUE AGAINST INDEPENDENT RETAILERS NOT COMPLYING WITH THESE RETAIL PRICES  </w:t>
        <w:br/>
        <w:t xml:space="preserve">73. Insofar as the distribution of Metrop products is predominantly ensured by wholesalers, they constitute a very powerful lever to enforce the prices imposed by Metrop. Price monitoring is further facilitated by the existence of the Internet, which allows both the dissemination of the retail price lists desired by the manufacturer and the verification that the prices of retailers, particularly those selling online, correspond to the "reference" prices communicated.  </w:t>
        <w:br/>
        <w:t xml:space="preserve">74. Numerous elements in the file attest to this joint monitoring by Metrop and the two aforementioned wholesalers.  </w:t>
        <w:br/>
        <w:t xml:space="preserve">75. Thus, in an email dated July 16, 2009, the president of Metrop informs the retailer L’or vert that he must comply with the "recommended minimum prices" as retail prices: "Hello, We have two distributors in France who have the products in stock and supply the other companies. They are LCDC Greencube and le Petit hydroculture [le Petit hydroculteur]. You can contact them and ask if you can be a Metrop reseller or not. The most important thing is that you do not sell at a price lower than the recommended minimum price. Anyone who does this will lose the Metrop concession. [...] X… Metrop" (reference 435, free translation, emphasis added).  </w:t>
        <w:br/>
        <w:t xml:space="preserve">76. Similarly, the emails of September 2 and 3, 2010 reproduced below, sent by Metrop to Mr. A…, manager of the Indoorgrowing store (the author of the complaint that initiated the investigation see above paragraph 3), testify to both the existence of this price monitoring system and the threats of retaliation against retailers refusing to comply.  </w:t>
        <w:br/>
        <w:t xml:space="preserve">77. On September 2, 2010, (references 392 and 393) the president of Metrop writes: "You are on the list to be blocked in the future because you are a major price breaker. Replace your prices quickly with the selling prices listed, then I will put your banner on www.metrop.biz (French). We are doing everything we can to eliminate price breakers and blacklist them because everyone must keep the same minimum price. That is why some stores do not have METROP (because we do not supply them) Best regards. X… - Metrop" (free translation, emphasis added).  </w:t>
        <w:br/>
        <w:t xml:space="preserve">78. On September 3, 2010, the leader of Metrop sends the price list and reiterates his threats: "Hello Julien, If I were angry with you and not understanding, you would immediately be on the blacklist like Culture Indoor. It's okay if you change next week. Email Hydro Factory (Z…) after you change the prices, so I give you permission to remain a retailer... We intended to no longer work with online stores that are not backed by normal stores because they constantly break prices and do not promote the products like in normal stores" (reference 391, free translation).  </w:t>
        <w:br/>
        <w:t xml:space="preserve">79. On the same day, the leader of Metrop invites Mr. A… to report retailers who do not comply with the retail prices recommended by Metrop: "If you see another price breaker now and in the future... Do not hesitate to contact me or Hydro Factory" (reference 392).  </w:t>
        <w:br/>
        <w:t xml:space="preserve">80. The company Hydro Factory is thus explicitly designated by Metrop as participating in the retaliation and monitoring system against "price breakers."  </w:t>
        <w:br/>
        <w:t xml:space="preserve">81. In his testimony collected on April 5, 2012, Mr. A… explained the nature and chronology of his relations with Metrop and the wholesaler Hydro Factory. He notably stated that non-compliance with the retail prices requested by Metrop had led, in early 2012, to a supply disruption from his wholesaler:  </w:t>
        <w:br/>
        <w:t xml:space="preserve">82. "I started having problems with HYDRO FACTORY due to the selling prices I practiced on METROP brands (fertilizers) (...). I was contacted several times by email and then by phone, by sales representatives from METROP directly, to increase my selling prices" (reference 385).  </w:t>
        <w:br/>
        <w:t xml:space="preserve">83. "I refused to increase my selling prices for METROP products: consequently, HYDRO FACTORY has stopped supplying me since early 2012, for this brand and for all the products I purchased from them. [...]" (reference 386).  </w:t>
        <w:br/>
        <w:t xml:space="preserve">84. "We assume that this price policy is a joint initiative of HYDRO FACTORY [wholesaler] and METROP [manufacturer] for several reasons: the brand image of METROP and its desire to maintain a certain price level; the competition with the INDOORGARDENS website (HYDRO FACTORY's network) as well as with their physical stores (two in the Toulouse area today) and finally the complaints from my direct competitors to our common supplier HYDRO FACTORY due to the very aggressive prices we practice [...]. On the other hand, my supplier for these brands, HYDRO FACTORY, told me that I was not complying with the price policy, particularly for the LUMATEK, SECRET JARDIN, and METROP products. To satisfy them, we would need to practice the same retail resale prices that can be consulted on their website. For METROP products, both the supplier HYDRO FACTORY and the manufacturer METROP threatened us with supply disruption and delisting (which was the case subsequently)" (references 398 to 399).  </w:t>
        <w:br/>
        <w:t xml:space="preserve">85. This supply disruption from Hydro Factory due to non-compliance with the recommended prices is confirmed by an email dated February 20, 2012, sent by Hydro Factory to Mr. A…: "Hello, Your order has not been sent and has not been taken into account. For that, it would have been necessary to receive a quote and validate it with a purchase order. In view of the prices practiced on your site and after receiving complaints from our suppliers, we cannot continue to sell you products whose prices are devalued on your site. These products have recommended prices from the suppliers that must be respected... Hydrofactory wishes you good luck. Best regards, B… Sales Manager HYDROFACTORY" (reference 390, emphasis added).  </w:t>
        <w:br/>
        <w:t xml:space="preserve">86. It is also established by an email from the company Metrop to Hydro Factory, dated January 23, 2012, collected during the search and seizure operations, which outlines the retaliation measures that Mr. A… must face: "There is a store that I absolutely want to blacklist. It’s Indoorgrowing in Toulouse; we have asked them many times to change their prices. But to no avail. So please stop supplying them with Metrop products or ;) sell them at the retail customer price ;)" (reference 2525, free translation).  </w:t>
        <w:br/>
        <w:t xml:space="preserve">87. Other seized emails, dated the following month, indicate that Metrop's injunctions were indeed executed by Hydro Factory, notably an internal email from this wholesaler, sent by the manager (Z…) to his sales manager (B…), asking him not to deliver Indoorgrowing, Mr. B… responding "Okay, noted..." (references 2528 and 2529).  </w:t>
        <w:br/>
        <w:t>88. Finally, exchanges between Metrop and Hydro Factory testify to the existence of a blacklist of resellers and the follow-up carried out by Mr. D…, recruited at the end of 2011 by the company Metrop: "E…, I forgot to attach the blacklist but it’s not important, we are updating it for the moment, in a few months it will be ready. Until then, we continue to follow the indications little by little, it will be simpler than sending a new list every two days. We will do that later once the sorting among the resellers has been done precisely. This way you will be aware of the updates. See you soon in Barcelona, D…, Metrop France" (email dated January 18, 2012, reference 1506, emphasis added).</w:t>
      </w:r>
    </w:p>
    <w:p>
      <w:r>
        <w:rPr>
          <w:b/>
        </w:rPr>
        <w:t>[Pages 16–18]</w:t>
      </w:r>
    </w:p>
    <w:p>
      <w:r>
        <w:t xml:space="preserve">89. Another email dated January 23, 2012, from the manager of Metrop to the company Hydro Factory (references 2525 and 2526) also mentions a control tour conducted by Messrs. X… and D… at the retailers under the Indoor Gardens brand.  </w:t>
        <w:br/>
        <w:t xml:space="preserve">90. While most of the emails related to the retaliation and monitoring system concern the wholesaler Hydro Factory/Hydro Logistique, the wholesaler C.I.S, after having been blacklisted for failing to comply with the instructions given by the producer (reference 391), also participated in this system throughout its business relations with Metrop, from late 2011 to 2013 (references 908, 910, 911, 918, 923, and 1105).  </w:t>
        <w:br/>
        <w:t xml:space="preserve">91. This is evidenced in particular by the email exchanges on December 13, 2011, and January 18, 2012, between Mr. C…, the director of C.I.S, and X…, the director of Metrop, with the subject titled "price problem" (free translation):  </w:t>
        <w:br/>
        <w:t xml:space="preserve">"Hello X…, We talked about price control; here are all the promotions currently available on your brand's products on the Internet. We have never sold to these customers. Check the websites. Look at the prices of the packs" (free translation, references 939 and 940);  </w:t>
        <w:br/>
        <w:t xml:space="preserve">"Hello and thank you. Indoorgardens is applying the 2008-2011 prices on its website in January; they will need to change them. I contacted the others and found a few more on eBay. We will manage them, and next year we will only need to check together [that they apply the prices] or simply stop selling to them. With the labels on the bottles, we can easily verify who sold them the products. Thank you." (free translation, reference 941).  </w:t>
        <w:br/>
        <w:t xml:space="preserve">92. Another email dated January 18, 2012, from Mr. D… to C.I.S confirms that Metrop has "blacklisted" the Indoorgrowing brand and asks C.I.S to do the same: "C… hello, We have blacklisted today the INDOORGROWING Toulouse brand. Please do the same on your side and thank you for your help as well as for respecting the prices on your website. We are conducting a lot of checks; to make it easier for us, do not forget to communicate the new prices to your customers (if it hasn't been done already, of course...) In this regard, I am sending you the 2012 store price list, valid for the next 5 years if all goes well (prices, oil, euro, raw materials...) Do not hesitate to contact us again if needed. Best regards, D… Metrop France" (reference 938).  </w:t>
        <w:br/>
        <w:t xml:space="preserve">93. Heard again on April 17, 2013, the manager of Indoorgrowing confirmed the generalization of this retail price control practice: "It's a characteristic of the sector; there are many products on which everyone has the same price, and I regularly (at trade shows, with wholesalers, etc.) receive comments about my low prices" (reference 399).  </w:t>
        <w:br/>
        <w:t xml:space="preserve">4. COMPLIANCE WITH THE MINIMUM PRICES IMPOSED BY METROP AT BOTH THE RETAIL PRICES BY DISTRIBUTORS AND RETAILERS AND THE WHOLESALE PRICES PRACTICED BY WHOLESALERS  </w:t>
        <w:br/>
        <w:t xml:space="preserve">a) The application of minimum retail prices set by Metrop on the websites of the Culture Indoor and Indoor Gardens networks  </w:t>
        <w:br/>
        <w:t xml:space="preserve">94. The first investigation report measured the evolution of retail prices disseminated by Metrop from 2007 to 2014 by calculating the inclusive selling price (reference 126). For the years 2012 and 2013, price surveys on the online sites Culture Indoor (C.I.S) and Indoor Gardens (Hydro Factory/Hydro Logistique) were conducted to attest to the application of minimum retail prices set by Metrop on the websites of the Culture Indoor and Indoor Gardens networks.  </w:t>
        <w:br/>
        <w:t xml:space="preserve">95. Regarding the wholesaler C.I.S, the comparison of the inclusive prices mentioned in this report with the retail prices recorded on the Culture Indoor brand website in 2012-2013 (references 405 to 415 and 424 to 425) reveals that the prices are systematically very slightly higher than those disseminated by the producer for the 12 references of the Metrop brand (an increase of less than 1% - 0.03, 0.2, 0.3, 0.47, 0.7, 0.9 %).  </w:t>
        <w:br/>
        <w:t xml:space="preserve">96. Regarding Hydro Factory/Hydro Logistique, the price surveys conducted on the Indoor Gardens brand website (references 127, 128, 402 to 404, 422 and 423) reveal that the retail prices on this site are, for 9 references of the Metrop brand, systematically very slightly higher (namely an increase of less than 1% - 0.2, 0.47, and 0.7 %) in 2012 and 2013 than those disseminated by the producer. The selling prices are only slightly lower for 3 references of a range. As for the prices practiced on the website in 2011 (references 2477 and following), they are almost systematically either equal to or very slightly higher than those disseminated by the producer.  </w:t>
        <w:br/>
        <w:t xml:space="preserve">b) The application by retailers of the retail prices set by the producer and disseminated by wholesalers  </w:t>
        <w:br/>
        <w:t xml:space="preserve">97. A collection of statements and a price survey were also conducted with 23 retailers to assess the extent to which they practically applied the retail prices set by the producer and disseminated by the wholesalers.  </w:t>
        <w:br/>
        <w:t xml:space="preserve">98. Regarding the Culture Indoor network (C.I.S), several retailers mentioned the communication of recommended prices by C.I.S. Some indicated that they were free in their pricing policy towards their head of network (references 147 to 150), one of them specifying that the retail prices listed on the "API COMMERCE" software were modifiable, while another stated that using it without modification had the advantage of simplicity. However, all stated that they applied the retail prices practiced on the Culture Indoor website, citing several reasons: "customers first check the prices in effect on the head of network's website before coming to buy in-store" or "all franchised stores sell at those prices" (references 2338 to 2399 and 3691 to 3702).  </w:t>
        <w:br/>
        <w:t xml:space="preserve">99. Regarding the Indoor Gardens network (Hydro Factory), several retailers indicated that their head of network did not communicate recommended prices to them, unlike Metrop. However, all retailers mentioned aligning with the selling price on the Internet of their Indoor Gardens head of network, for the reasons that: "it is pointless to deviate from the prices [of the site] because almost all our customers refer to it and they want the same price in-store," "it is clear that stores have an interest in maintaining their profit margins by applying the recommended prices; I observe that stores respect the recommended prices" (references 141 to 147 and 2231 to 2337).  </w:t>
        <w:br/>
        <w:t xml:space="preserve">100. The manager of the companies Hydro Factory and Hydro Logistique also specified, regarding the web pages of each of the stores in his network: "Among these icons, there can be, since November 2013, an icon 'web price' that was added at the request of certain stores. These prices correspond to the rates we practice on the site indoorgardens.fr. Indeed, we have faced, in an anecdotal way, customers who complained to us about prices higher than ours that could be applied by certain retailers. Consequently, we called these retailers to inform them of these customers' dissatisfaction" (references 1686 and 1687). This type of icon also exists on the C.I.S website.  </w:t>
        <w:br/>
        <w:t xml:space="preserve">101. It follows from all these elements that following the dissemination of the recommended selling prices by Metrop and by the wholesalers C.I.S and Hydro Factory/Hydro Logistique, many retailers from the Culture Indoor and Indoor Garden networks, either out of fear of losing customers, or to maintain their profit margin, or due to the lack of financial capacity allowing them, like their franchisors, to support real price reductions (references 2239 and 2263) – these different reasons may accumulate – thus decided to apply in-store the resale prices displayed on the Internet.  </w:t>
        <w:br/>
        <w:t xml:space="preserve">102. Furthermore, the price surveys conducted with the 23 retailers demonstrate a very high alignment rate of the retail prices of Metrop fertilizers, particularly since 2012, up to March/May 2014, with 84.81% of the prices practiced being identical or slightly higher than the prices disseminated by the producer and 95.78% of the prices recorded varying by only a few percent from the retail price disseminated by the producer (- 6.60% at most).  </w:t>
        <w:br/>
        <w:t xml:space="preserve">c) The application by wholesalers of the wholesale prices set by the producer  </w:t>
        <w:br/>
        <w:t xml:space="preserve">103. An examination of the wholesale prices of the distributors Hydro Factory and C.I.S shows that they have scrupulously respected the pricing grids issued by the manufacturer Metrop to establish their own rates as wholesalers, since the year 2010 for Hydro Factory and the year 2012 for C.I.S (references 163 to 170).  </w:t>
        <w:br/>
        <w:t xml:space="preserve">104. These two wholesalers have also monitored the prices practiced by each of them and discussed them with Metrop, as evidenced by an email exchange on September 24 and October 1, 2012, between Z… (Hydro Factory) and X… (Metrop) and an email from Z… dated October 4, 2012:  </w:t>
        <w:br/>
        <w:t xml:space="preserve">"Hello X…, It seems that Culture Indoor has lowered its wholesale price. Please send me the latest price grid that we need to follow. Z…" (reference 2531, free translation).  </w:t>
        <w:br/>
        <w:t xml:space="preserve">"Hello Z…, I can't do anything against Culture Indoor if I don't have proof. X…" (reference 2532, free translation).  </w:t>
        <w:br/>
        <w:t>"Hello X…, Attached is the price list from Culture Indoor sent yesterday! Please tell them immediately to change the price. Z…" (reference 2534, free translation).</w:t>
      </w:r>
    </w:p>
    <w:p>
      <w:r>
        <w:rPr>
          <w:b/>
        </w:rPr>
        <w:t>[Pages 19–21]</w:t>
      </w:r>
    </w:p>
    <w:p>
      <w:r>
        <w:t xml:space="preserve">105. On February 21, 2019, the following grievance was notified:  </w:t>
        <w:br/>
        <w:t xml:space="preserve">"It is alleged against the company Agrotechniek B.V. (Netherlands, KvK 71322876), which ensures the economic continuity of the company Agrotechniek Metrop, a company that no longer exists today, as well as against the companies Hydro Factory (R.C.S. 490 705 621), Hydro Logistique (R.C.S. 508 858 065) and C.I.S (R.C.S. 443 193 271) that they have continuously agreed with all their distributors to fix resale prices to consumers (retail) and professionals (wholesale) of liquid fertilizers for domestic use in soilless production under the Metrop brand:  </w:t>
        <w:br/>
        <w:t xml:space="preserve">- for the period from September 2010 to December 2013 concerning Agrotechniek B.V. and Hydro Factory;  </w:t>
        <w:br/>
        <w:t xml:space="preserve">- for the period from September 2010 to December 2013 concerning Agrotechniek B.V. and Hydro Logistique;  </w:t>
        <w:br/>
        <w:t xml:space="preserve">- for the period from December 2011 to October 2013 concerning Agrotechniek B.V. and C.I.S.  </w:t>
        <w:br/>
        <w:t>This practice is contrary to Articles L. 420-1 of the Commercial Code and 101 of the TFEU."</w:t>
      </w:r>
    </w:p>
    <w:p>
      <w:r>
        <w:t xml:space="preserve">II. Discussion  </w:t>
        <w:br/>
        <w:t>106. The issues of the applicable procedural language before the Authority (A), the applicability of Union law (B), the merits of the notified grievance (C), the attribution of the practices (D), and the sanction (E) will be examined successively.</w:t>
      </w:r>
    </w:p>
    <w:p>
      <w:r>
        <w:t xml:space="preserve">A. ON THE PROCEDURAL LANGUAGE BEFORE THE AUTHORITY  </w:t>
        <w:br/>
        <w:t xml:space="preserve">107. The company Metrop argues, in observations drafted in Dutch and translated into French by itself using an online translator, that it does not understand French, the procedural language of the Authority, that the rapporteurs did not respond to its requests, that it was unable to respond within short deadlines, and that it does not have the financial means necessary to engage the services of a translator or a lawyer.  </w:t>
        <w:br/>
        <w:t xml:space="preserve">108. On this point, it should first be recalled that, in accordance with the requirements arising from Article 2 of the Constitution, reiterated, particularly concerning public services, in Article 1 of Law No. 94-665 of August 4, 1994, relating to the use of the French language (JORF of August 5, 1994, p. 11,392), the procedural language before the Authority is French, as also recalled by Article 26 of its internal regulations.  </w:t>
        <w:br/>
        <w:t xml:space="preserve">109. Furthermore, it is established jurisprudence that the Authority, whose decision does not occur at the end of a criminal procedure per se, and does not target natural persons, but legal persons generally having more significant resources to ensure their defense, does not disregard the requirements of Article 6(3)(a) of the ECHR if it establishes, following a request made by the parties, that they are concretely able to grasp the scope of the accusations made against them and to fully exercise their rights, taking into account, in particular, their command of the French language, the assistance and advice they are surrounded by, and all the means and facilities at their disposal (see, in this sense, decisions No. 14-D-19 of December 18, 2014, concerning practices implemented in the cleaning products and insecticides sector and in the hygiene and body care products sector, paragraphs 779 to 786, confirmed on this point by the judgment of the Paris Court of Appeal of October 27, 2016, Beiersdorf AG et al., No. 15/01673, pp. 17-18; No. 12-D-09 of March 13, 2012, concerning practices implemented in the food flour sector, paragraphs 361 to 374, confirmed on this point by the judgment of the Paris Court of Appeal of November 20, 2014, Société Grands Moulins de Paris et al., No. 2012/06826, pp. 19-21, confirmed on this point by the judgment of the Court of Cassation of November 8, 2016, No. 14-28.234, p. 19).  </w:t>
        <w:br/>
        <w:t xml:space="preserve">110. In this case, the company Metrop was informed, as early as August 30, 2017, that the procedure before the Authority would be conducted in French (reference 3285). It repeatedly refused to respond to the requests of the investigation services, leading them to approach the Dutch Competition Authority to obtain the desired responses. It also refused to respond to the investigation services in terms that were sometimes particularly virulent (reference 5124).  </w:t>
        <w:br/>
        <w:t xml:space="preserve">111. Following the sending of the second notification of grievances on February 21, 2019, and at the request of the investigation services, the Dutch Competition Authority again approached the company Metrop to communicate, in Dutch, information about the conduct of the procedure before the Authority, notably regarding the deadline for submitting observations, the modalities of the simplified procedure, the use of the French language as the procedural language, and the possibility of engaging, at its own expense, a French-speaking translator or lawyer.  </w:t>
        <w:br/>
        <w:t xml:space="preserve">112. However, the company Metrop did not take these various pieces of information into account and did not, moreover, request any additional time to respond to the notification of grievances.  </w:t>
        <w:br/>
        <w:t xml:space="preserve">113. In the hearing, despite being warned numerous times that the debates would be held in French, the representative of Metrop refused to speak in French.  </w:t>
        <w:br/>
        <w:t xml:space="preserve">114. It should be emphasized that the financial data provided by Metrop in its observations allow us to conclude that even though it is headquartered in the Netherlands, it evidently has financial means enabling it to engage the services of advisors or interpreter-translators to assist it, if necessary, in its response to the grievance notified against it.  </w:t>
        <w:br/>
        <w:t xml:space="preserve">115. Moreover, it appears from the observations communicated by Metrop that it has indeed, in reality, grasped the scope of the grievance notified against it and was able to respond, particularly as it explains that it "has always tried to protect small retailers in France" and is "guilty of trying to ensure that retailers maintain a price with a reasonable profit margin," while specifying that it did not know "that this was not allowed."  </w:t>
        <w:br/>
        <w:t xml:space="preserve">116. It follows from these various findings, on the one hand, that Metrop was duly informed of the use of French as the procedural language before the Authority, and on the other hand, that it had the resources and all the means and facilities necessary to ensure its defense and was, therefore, perfectly able to do so.  </w:t>
        <w:br/>
        <w:t>117. Under these conditions, the alleged violation of the rights of defense is not demonstrated.</w:t>
      </w:r>
    </w:p>
    <w:p>
      <w:r>
        <w:t xml:space="preserve">B. ON THE APPLICABILITY OF UNION LAW  </w:t>
        <w:br/>
        <w:t xml:space="preserve">118. According to the jurisprudence of the Union summarized in the European Commission's Communication containing guidelines relating to the concept of affecting trade as set out in Articles 101 and 102 of the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sensitive nature of this effect. Regarding this third element, paragraph 52 of the aforementioned guidelines refers to two cumulative thresholds below which an agreement is presumed, according to the European Commission, not to significantly affect trade between Member States. Thus, it must be that (i) the total market share of the parties in the affected European market does not exceed 5% and (ii), in the case of vertical agreements, the total annual turnover achieved by the supplier in the Union with the products concerned by the agreement does not exceed 40 million euros.  </w:t>
        <w:br/>
        <w:t xml:space="preserve">119. Concerning vertical agreements, it is indicated in point 88 of the Guidelines on the concept of affecting trade that: "Vertical agreements covering the entire territory of a Member State and concerning marketable products may also affect trade between Member States, even if they do not create direct obstacles to trade. Agreements under which companies commit to a resale price may sometimes directly affect trade between Member States by increasing imports from other Member States and reducing exports from the Member State in question. Agreements involving a fixed price may also affect trade flows in a manner quite similar to that of horizontal agreements. To the extent that the fixed price is higher than the price practiced in other Member States, this price level is defensible only if imports from other Member States can be controlled."  </w:t>
        <w:br/>
        <w:t xml:space="preserve">120. In this case, the practices in question, which concern the entire national territory, relate to products manufactured and marketed by companies headquartered in several Member States, notably in the Netherlands and France. The two wholesalers C.I.S and Hydro Factory/Hydro Logistique together represent 55% of the national market.  </w:t>
        <w:br/>
        <w:t>121. In light of the above, trade between Member States is likely to be significantly affected by the practices in question. These must therefore be examined both in light of national law, notably Article L. 420-1 of the Commercial Code, and Union law, notably Article 101 of the TFEU.</w:t>
      </w:r>
    </w:p>
    <w:p>
      <w:r>
        <w:t xml:space="preserve">C. ON THE MERITS OF THE NOTIFIED GRIEVANCE  </w:t>
        <w:br/>
        <w:t xml:space="preserve">1. ON THE RELEVANT MARKET  </w:t>
        <w:br/>
        <w:t>122. It follows from established jurisprudence of the Union courts that the obligation to delineate the relevant market in a decision adopted under Article 101 of the TFEU applies to competition authorities only when, without such delineation, it is not possible to determine whether the agreement, the decision of association of companies, or the concerted practice in question has as its object or effect the prevention, restriction, or distortion of competition within the common market (judgment of</w:t>
      </w:r>
    </w:p>
    <w:p>
      <w:r>
        <w:rPr>
          <w:b/>
        </w:rPr>
        <w:t>[Pages 22–24]</w:t>
      </w:r>
    </w:p>
    <w:p>
      <w:r>
        <w:t xml:space="preserve">Tribunal of September 12, 2007, William Prym/Commission, T-30/05, Rec. p. II-107, paragraph 86, citing the judgments of the Tribunal of September 15, 1998, European Night Services e.a./Commission, T-374/94, T–375/94, T–384/94 and T–388/94, Rec. p. II-3141, paragraphs 93 to 95 and 103, and of March 19, 2003, CMA CGM e.a./Commission, T–213/00, Rec. p. II-913, paragraph 206).  </w:t>
        <w:br/>
        <w:t xml:space="preserve">123. Under domestic law, the Authority similarly considers that when the practices in question are examined under the prohibition of agreements or concerted practices, as is the case here, it is not necessary to precisely define the market, as long as the sector has been sufficiently characterized to allow for the qualification of the observed practices and to attribute them to the operators who implemented them (see in particular the decision of the Competition Authority No. 17-D-20 of October 18, 2017, regarding practices implemented in the sector of resilient floor coverings, paragraph 419).  </w:t>
        <w:br/>
        <w:t xml:space="preserve">124. In this case, it appears from the elements of the file previously exposed that soilless cultivation requires specific fertilizers, produced by about twenty producers, mainly Dutch and Anglo-Saxon, targeting informed consumers practicing a certain type of gardening and wishing to use products different from traditional gardening. These products are subject to differentiated marketing and are distributed through specific marketing channels. Upstream, the wholesalers supplying mainly the national territory with such liquid fertilizers are companies established in France (C.I.S, Hydro Factory/Hydro Logistics) and the distribution networks supplied by these wholesalers are mainly composed of stores established in the national territory.  </w:t>
        <w:br/>
        <w:t xml:space="preserve">125. These various elements allow for the definition of a French market for the distribution (wholesale and retail) of liquid fertilizers for soilless production dedicated to domestic cultivation on which the practices will be examined.  </w:t>
        <w:br/>
        <w:t xml:space="preserve">2. ON THE ALLEGATION OF VERTICAL PRICE AGREEMENT  </w:t>
        <w:br/>
        <w:t xml:space="preserve">a) Reminder of applicable principles  </w:t>
        <w:br/>
        <w:t xml:space="preserve">On the existence of a restriction of competition by object  </w:t>
        <w:br/>
        <w:t xml:space="preserve">126. Articles 101(1) TFEU and L. 420-1 of the Commercial Code both establish a distinction between restrictions of competition by object or by effect.  </w:t>
        <w:br/>
        <w:t xml:space="preserve">127. In this regard, it follows from the case law of the Court of Justice of the European Union that certain types of coordination between companies, such as, in particular but not exclusively, price agreements, intrinsically reveal a sufficient degree of harmfulness to competition such that the examination of their effects is not necessary (see in this sense, in particular, judgments of the Court of Justice of the European Union of September 11, 2014, Groupement des cartes bancaires, C-67/13, paragraphs 49 and 50; of November 20, 2008, BIDS, C-209/07, paragraph 15, as well as of March 14, 2013, Allianz Hungária Biztosító e.a., C‑32/11, paragraphs 34 and 35).  </w:t>
        <w:br/>
        <w:t xml:space="preserve">128. Generally, the assessment of the existence of a sufficient degree of harmfulness requires a concrete and cumulative examination of the content and objectives of the practice or the restrictive provision of competition, as well as the economic and legal context in which it is situated. In the context of assessing said context, it is also necessary to take into account the nature of the goods or services affected, as well as the actual conditions of operation and the structure of the market(s) in question (see, in this sense, judgments of the Court of Justice of the European Union of September 11, 2014, Groupements des cartes bancaires, C-67/13, paragraph 53 and of March 14, 2013, Allianz Hungária Biztosító e.a., paragraph 36).  </w:t>
        <w:br/>
        <w:t xml:space="preserve">129. In its judgment of May 16, 2013, Kontiki (No. 2012/01227, confirmed by the Court of Cassation in its judgment No. 13-19.476 of October 7, 2014), the Paris Court of Appeal recalled that "Articles 101(1) TFEU and L. 420-1 of the Commercial Code prohibit, in particular, agreements between suppliers and distributors that have the object or effect of preventing, distorting or restricting the setting of prices to consumers by the free play of competition" (p. 5).  </w:t>
        <w:br/>
        <w:t xml:space="preserve">130. Regarding imposed prices specifically, the Paris Court of Appeal emphasized in the same judgment that "practices of imposed prices are considered by Regulation (EU) No. 330/2010 of the Commission of April 20, 2010, as characterized restrictions and that, therefore, an agreement or concerted practice having directly or indirectly the object of establishing a fixed or minimum selling price that the buyer is required to respect is presumed to restrict competition."  </w:t>
        <w:br/>
        <w:t xml:space="preserve">On the standard of proof of a vertical price agreement  </w:t>
        <w:br/>
        <w:t xml:space="preserve">131. It follows from consistent decision-making practice and case law, both in Union law and in domestic law, that the proof of a vertical agreement requires the demonstration of the agreement of the parties to the agreement expressing their common intention to behave in a determined manner in the market (judgments of the Court of Justice of July 15, 1970, ACF Chemiefarma/Commission, 41/69, Rec. p. 661, paragraph 112, of the Tribunal of October 26, 2000, Bayer/Commission, aff. T-41/96, Rec. p. II-3383, paragraph 67 and of the Paris Court of Appeal, January 28, 2009, Epsé Joué Club, No. 2008/00255, p. 9, which became final after the rejection judgments of the Court of Cassation of April 7, 2010).  </w:t>
        <w:br/>
        <w:t xml:space="preserve">132. According to the Tribunal of the Union, the proof of such an agreement "must rely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regardless of how the parties' intention to behave in the market in accordance with the terms of said agreement is expressed" (judgment of the Tribunal Bayer/Commission of October 26, 2000, T-41/96, paragraph 173).  </w:t>
        <w:br/>
        <w:t xml:space="preserve">133. The demonstration of the agreement of wills can be made by any means, it being recalled that the Court of Justice of the European Union considers that it is not necessary, in the presence of documentary or contractual evidence, to examine additional behavioral evidence (see, in this sense, the judgment of October 6, 2009, GlaxoSmithKline Services v. Commission).  </w:t>
        <w:br/>
        <w:t xml:space="preserve">134. In its judgment of January 7, 2004, Aalborg Portland e.a. v. Commission (aff. C-204/00), the Court of Justice of the European Union qualifies as "direct documentary evidence" sufficiently explicit elements, such as internal notes, statements, meeting minutes, agenda drafts or notes taken during meetings: "Contrary to what Italcementi and Cementir argue, the Tribunal did not make an undue reversal of the burden of proof nor a violation of the presumption of innocence. The Tribunal concluded, on the one hand, that the documents mentioned in paragraph 18 of the reasoning of the Cement decision, namely the internal notes of Blue Circle, the statement of Mr. Y… and the statements of Cembureau itself (documents Nos. 33.126/11525 and 13568 to 13573), explicitly stated the existence of an agreement among European cement producers aimed at respecting domestic markets and regulating sales from one country to another (see paragraph 920 of the contested judgment) and, on the other hand, that the documents mentioned in paragraphs 19 and 45 of the reasoning of the Cement decision indicated that an agreement, within the meaning of Article 85(1) of the Treaty, had been concluded during the meeting of January 14, 1983 (see paragraph 1003 of the contested judgment). The Tribunal rightly characterized, in paragraph 862 of the contested judgment, the said documents as "direct documentary evidence" of the existence of the Cembureau agreement" (paragraph 237) (emphasis added).  </w:t>
        <w:br/>
        <w:t xml:space="preserve">135. The Paris Court of Appeal has aligned itself with this case law by stating, in a judgment of January 26, 2012 (Beauté Prestige International, No. 2010/23945, pp. 44 to 45), that the demonstration of the agreement of wills could be made by any means, and considering that "the proof of an [vertical] agreement can be constituted by direct evidence (such as a written document) or indirect evidence (such as behavior) and that in the presence of documentary or contractual evidence, there is no need to resort, additionally, to the study of behavioral evidence" (judgment "Kontiki" cited above, p. 5).  </w:t>
        <w:br/>
        <w:t xml:space="preserve">136. Thus, concerning a price agreement, the demonstration of the agreement of wills results either from direct documentary evidence or, failing that, from indirect behavioral evidence constituted by the gathering of a set of serious, precise, and consistent indications (judgments of the Paris Court of Appeal of January 28, 2009, Espé Joué Club, and of the Court of Cassation of June 11, 2013, No. 12-13961).  </w:t>
        <w:br/>
        <w:t xml:space="preserve">On the continuity of practices  </w:t>
        <w:br/>
        <w:t xml:space="preserve">137. To determine the duration of an infringement of competition rules, it is necessary to seek the period that elapsed between the date of its conclusion and the date on which it was terminated (judgments of the Tribunal of July 27, 2005, Brasserie nationale e.a./Commission, T-49/02 to T-51/02, Rec. p. II-3033, paragraph 185, and of December 5, 2006, Westfalen Gassen Nederland/Commission, T-303/02, Rec. p. II-4567, paragraph 138).  </w:t>
        <w:br/>
        <w:t xml:space="preserve">138. In the absence of evidence capable of directly establishing the duration of an infringement and its continuous nature, the competition authority must rely, at least, on evidence relating to facts sufficiently close in time, so that it can be reasonably accepted that this infringement has continued uninterrupted between two specific dates (judgments of the Tribunal of July 7, 1994, Dunlop Slazenger/Commission, T-43/92, Rec. p. II-441, paragraph 79, and of November 16, 2006, Peroxidos Orgânicos/Commission, T-120/04, Rec. p. 11-4441, paragraph 51; judgment of the Tribunal of April 5, 2006, Degussa/Commission, T-279/02, Rec. p. II-897, paragraph 153).  </w:t>
        <w:br/>
        <w:t xml:space="preserve">139. Finally, the suspension of an anticompetitive practice for a determined period does not prevent it from being classified as a continuous infringement as long as, after its interruption, it has been resumed under the same conditions (judgments of the Tribunal of March 20, 2002, Dansk Rorindustri/Commission, T-21/99, Rec. p. 11-1681, paragraphs 53 to 56, of April 5, 2006, Degussa/Commission cited above, paragraph 178, and of May 19, 2010, IMI e.a./Commission, T-18/05, Rec. p. II-1769, paragraphs 96 to 97, and of the Paris Court of Appeal of March 29, 2012, Lacroix signalisation e.a., No. 2011/01228, p. 10).  </w:t>
        <w:br/>
        <w:t xml:space="preserve">b) Application in this case  </w:t>
        <w:br/>
        <w:t>140. It appears from the elements of the file that the producer Metrop has agreed with its resellers Hydro Factory/Hydro Logistics and C.I.S on the wholesale and retail prices of its liquid fertilizers.</w:t>
      </w:r>
    </w:p>
    <w:p>
      <w:r>
        <w:rPr>
          <w:b/>
        </w:rPr>
        <w:t>[Pages 25–27]</w:t>
      </w:r>
    </w:p>
    <w:p>
      <w:r>
        <w:t>companies.</w:t>
      </w:r>
    </w:p>
    <w:p>
      <w:r>
        <w:t xml:space="preserve">b) On the imputability within a group of companies  </w:t>
        <w:br/>
        <w:t xml:space="preserve">163. It follows from consistent case law that Articles L. 420-1 of the Commercial Code and 101 TFEU target infringements committed by companies.  </w:t>
        <w:br/>
        <w:t xml:space="preserve">164. The notion of a company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responsibility (see in particular the judgments of the Court of Justice of 10 September 2009, Akzo Nobel e.a./Commission, C-97/08, paragraphs 55 and 56, and of 20 January 2011, General Quimica/Commission, C-90/09, paragraph 36; see also the judgment of the Paris Court of Appeal of 29 March 2012, Lacroix Signalisation e.a., 2011/01228, pp. 18 and 20).  </w:t>
        <w:br/>
        <w:t>165.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ties that bind these two companies.</w:t>
      </w:r>
    </w:p>
    <w:p>
      <w:r>
        <w:rPr>
          <w:b/>
        </w:rPr>
        <w:t>[Pages 28–30]</w:t>
      </w:r>
    </w:p>
    <w:p>
      <w:r>
        <w:t xml:space="preserve">entities (see the judgments Akzo Nobel e.a./Commission, cited above, paragraph 58, General Quimica/Commission, paragraph 37, and Lacroix Signalisation e.a., cited above, pp. 18 and 19).  </w:t>
        <w:br/>
        <w:t xml:space="preserve">166. In the specific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In this hypothesis, it is sufficient for the competition authority to provide evidence of this capital holding to attribute the behavior of the subsidiary that engaged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(see the judgments Akzo Nobel e.a./Commission, cited above, paragraphs 60 and 61, General Quimica/Commission, paragraphs 39 and 40, and Lacroix Signalisation e.a., cited above, pp. 19-20).  </w:t>
        <w:br/>
        <w:t xml:space="preserve">167. As recalled by the Paris Court of Appeal in its judgment Lacroix Signalisation e.a., cited above, these rules of attribution, which stem from the notion of undertaking referred to in Articles 101 and 102 TFEU, fall under the substantive rules of European competition law. The interpretation of the European courts is therefore binding on national competition authorities when they apply European law as well as on the courts that oversee them (see also, in this sense, the judgment of the Court of Justice of June 4, 2009, T-Mobile Netherlands e.a., C-8/08, paragraphs 49 and 50).  </w:t>
        <w:br/>
        <w:t xml:space="preserve">b) On attribution in the case of transformation of the undertaking  </w:t>
        <w:br/>
        <w:t xml:space="preserve">168. It follows from consistent case law that as long as the legal entity responsible for the operation of the undertaking that has implemented practices infringing competition rules legally exists, it must be held responsible for these practices.  </w:t>
        <w:br/>
        <w:t xml:space="preserve">169. If this legal entity has changed its name or legal form, it continues to be liable for the infringement committed.  </w:t>
        <w:br/>
        <w:t xml:space="preserve">170. Conversely, when the legal entity responsible for the operation of the undertaking that committed the practices has ceased to legally exist, these practices must be attributed to the legal entity to which the undertaking has been legally transferred, that is to say, the one that has received the rights and obligations of the entity that committed the infringement, and, in the absence of such a transfer, to the one that ensures its economic and functional continuity in fact (judgments of the Court of Cassation of June 23, 2004, BNP Paribas e.a., No. 01-17896, 02-10066 and of the Paris Court of Appeal of January 14, 2009, Eurelec Midi Pyrénées e.a., No. 2008/01095, p. 5).  </w:t>
        <w:br/>
        <w:t xml:space="preserve">2. APPLICATION IN THIS CASE  </w:t>
        <w:br/>
        <w:t xml:space="preserve">171. In this case, the practices were implemented by the companies Agrotechniek Metrop, Hydro Factory/Hydro Logistique, and C.I.S.  </w:t>
        <w:br/>
        <w:t xml:space="preserve">172. Regarding the company Metrop, it appears from the case files that the practices identified were committed by the company Agrotechniek Metrop. However, since this company ceased to exist on April 3, 2018, the practices for which it was responsible will be attributed to the company Agrotechniek B.V., which ensures its economic continuity (references 5830 to 5833).  </w:t>
        <w:br/>
        <w:t xml:space="preserve">173. Regarding the companies Hydro Factory and Hydro Logistique, it appears from the elements of the case that these two companies are managed by the same manager, Mr. Z…, who holds all the share capital of both entities and represented them without distinguishing according to his capacity as manager of one or the other during the examined period.  </w:t>
        <w:br/>
        <w:t xml:space="preserve">174. Furthermore, it results from the organizational chart of Hydro Factory and the statements of Mr. Z… that Hydro Logistique was created solely to separate the wholesale activities from the operation of the website under the Indoor Gardens brand, which belongs to Hydro Factory. Hydro Factory invoices the sales made through the website www.indoorgardens.fr to Hydro Logistique. Each company has its own employees and its own financial management, but they shared the same premises until 2017, with the majority of the staff being employees of Hydro Factory. The Indoor Gardens distribution network is entirely managed by Hydro Factory, which constitutes its head and purchasing center. Hydro Factory disseminates to its clients both its own pricing grids and the retail prices practiced on the website operated by Hydro Logistique for the Indoor Gardens network.  </w:t>
        <w:br/>
        <w:t xml:space="preserve">175. Consequently, all these elements allow us to conclude that Hydro Factory and Hydro Logistique form an economic unit. Therefore, the identified practices should be attributed jointly to these companies.  </w:t>
        <w:br/>
        <w:t xml:space="preserve">176. Therefore, the practices observed should be attributed to the companies Agrotechniek B.V., ensuring the economic continuity of Agrotechniek Metrop, and Hydro Factory/Hydro Logistique on the one hand, and to Agrotechniek B.V., ensuring the economic continuity of Agrotechniek Metrop, and C.I.S on the other hand.  </w:t>
        <w:br/>
        <w:t xml:space="preserve">E. ON SANCTIONS  </w:t>
        <w:br/>
        <w:t xml:space="preserve">177. The following will be addressed successively:  </w:t>
        <w:br/>
        <w:t xml:space="preserve">- the principles relating to the determination of sanctions (1);  </w:t>
        <w:br/>
        <w:t xml:space="preserve">- the determination of the base amount (2);  </w:t>
        <w:br/>
        <w:t xml:space="preserve">- the consideration of circumstances specific to the companies concerned (3);  </w:t>
        <w:br/>
        <w:t xml:space="preserve">- the final adjustments (4).  </w:t>
        <w:br/>
        <w:t xml:space="preserve">1. PRINCIPLES  </w:t>
        <w:br/>
        <w:t xml:space="preserve">178. I of Article L. 464-2 of the Commercial Code empowers the Authority to impose financial sanctions on companies and organizations that engage in anti-competitive practices prohibited by Articles L. 420-1 and L. 420-2 of the Commercial Code.  </w:t>
        <w:br/>
        <w:t xml:space="preserve">179. According to the fourth paragraph of I of Article L. 464-2 of the Commercial Code, "the maximum amount of the sanction is, for a company, 10% of the highest amount of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180. Furthermore, the third paragraph of I of Article L. 464-2 of the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reasoned for each sanction."  </w:t>
        <w:br/>
        <w:t xml:space="preserve">181.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  </w:t>
        <w:br/>
        <w:t xml:space="preserve">182. In this case, the Authority will assess these legal criteria according to the practical modalities described in its press release of May 16, 2011, relating to the method of determining financial sanctions (hereinafter "the sanctions press release").  </w:t>
        <w:br/>
        <w:t xml:space="preserve">183. The companies involved in this case have been given the opportunity to make observations on the main elements of law and fact in the case that could, according to the investigation services, influence the determination of the sanctions that may be imposed on them, following the receipt of the simplified notification of grievances. The presentation of these various elements by the investigation services does not prejudge the assessment of the Authority's board on the determinants of the sanctions, which is solely within its deliberation.  </w:t>
        <w:br/>
        <w:t xml:space="preserve">2. ON THE DETERMINATION OF THE BASE AMOUNT OF SANCTIONS  </w:t>
        <w:br/>
        <w:t xml:space="preserve">a) On the basis of sanctions  </w:t>
        <w:br/>
        <w:t xml:space="preserve">184. As indicated by the Authority in the sanctions press release, in paragraph 23, "to give a numerical translation to its assessment of the seriousness of the facts and the importance of the damage caused to the economy, the Authority retains, as the base amount of the financial sanction, a proportion of the value of the sales made by each company or organization involved, of products or services related to the infringement or, where applicable, the infringements in question. The value of these sales constitutes indeed an appropriate and objective reference for determining the base amount of the financial sanction, as it allows for the proportionality of the basis on a case-by-case basis to the economic magnitude of the infringement or infringements in question, on the one hand, and to the relative weight, on the sector(s) or market(s) concerned, of each company or organization that participated, on the other hand."  </w:t>
        <w:br/>
        <w:t>185. Certainly, the Commercial Code, by not referring to the turnover related to the sector or market in question, but only to the consolidated or combined worldwide turnover, does not require the Authority to proceed in this way (judgment of the Court of Cassation of May 13, 1997, Société française de transports Gondrand frères, No. 95-16378). However, it is accepted by national and European Union case law that the value of sales generally constitutes an appropriate and objective reference allowing for the proportionality of the basis of the sanction to the economic reality of the infringement in question, and more precisely to its magnitude as well as to the relative weight on the concerned sector of each of the companies that participated (see, in this sense, judgments of the Paris Court of Appeal of October 11, 2012, Entreprise H. Chevalier Nord e.a., No. 2011/03298, p. 72 and of March 29, 2012, Lacroix Signalisation e.a., No. 2011/01228, pp. 37 to 38; judgments of the Court of Justice of June 7, 1983, Musique diffusion française/Commission, 100/80, paragraphs 119 to 121,</w:t>
      </w:r>
    </w:p>
    <w:p>
      <w:r>
        <w:rPr>
          <w:b/>
        </w:rPr>
        <w:t>[Pages 31–33]</w:t>
      </w:r>
    </w:p>
    <w:p>
      <w:r>
        <w:t xml:space="preserve">and of September 3, 2009, Papierfabrik August Koehler e.a./Commission, C-322/07 P, C-327/07 P and C-338/07 P, paragraph 114).  </w:t>
        <w:br/>
        <w:t xml:space="preserve">186. In this case, the practices pursued concerned, for all grievances, liquid fertilizers for soilless production (hydroponic cultivation) for domestic use at the national level. Therefore, it is appropriate to consider the sales figure related to the sale of these products as the value of sales.  </w:t>
        <w:br/>
        <w:t xml:space="preserve">187. Furthermore, as recalled by the Paris Court of Appeal, an agreement cannot be constituted between two companies that are not autonomous with respect to each other (judgment of January 20, 2011, No. 2010/08165, p. 18, confirming in this regard decision No. 10-D-13 of April 15, 2010, concerning practices implemented in the handling sector for the transport of containers at the port of Le Havre). Thus, in the event that a group of companies, forming a single entity within the meaning of competition law, participates in an agreement through several of the legal entities that compose it, it should be considered that this group constitutes only one single participant in the agreement and not several (decision No. 16-D-17 of July 21, 2016, concerning practices implemented in the sector of mobile liquid fuel heating devices, paragraph 180, which has not been subject to appeal).  </w:t>
        <w:br/>
        <w:t xml:space="preserve">188. In application of this principle, a single sales value will be retained concerning Hydro Factory and Hydro Logistique, these companies forming the same economic entity.  </w:t>
        <w:br/>
        <w:t xml:space="preserve">189. Finally, according to the method developed by the sanctions communiqué, the reference retained by the Authority is generally the sales value during the last complete accounting year of participation of each company involved. However, in cases where it considers that the last complete accounting year of participation in the infringement does not manifestly constitute a representative reference, the Authority retains a year that it deems more appropriate.  </w:t>
        <w:br/>
        <w:t xml:space="preserve">190. In this case, the last complete accounting year for each of the companies is:  </w:t>
        <w:br/>
        <w:t xml:space="preserve">- the year 2013 for the agreement between the companies Metrop and Hydro Factory/Hydro Logistique;  </w:t>
        <w:br/>
        <w:t xml:space="preserve">- the year 2012 for the agreement between the companies Metrop and C.I.S.  </w:t>
        <w:br/>
        <w:t xml:space="preserve">191. In light of the preceding considerations, the table below, established based on the data provided by the companies concerned, summarizes the sales values serving as the basis for the individual sanction of each of them (in euros):  </w:t>
        <w:br/>
        <w:t xml:space="preserve">Sales value (in euros)  </w:t>
        <w:br/>
        <w:t xml:space="preserve">Metrop - Hydro 34,834  </w:t>
        <w:br/>
        <w:t xml:space="preserve">Metrop - C.I.S 53,886  </w:t>
        <w:br/>
        <w:t xml:space="preserve">Hydro 64,157  </w:t>
        <w:br/>
        <w:t>C.I.S 85,165</w:t>
      </w:r>
    </w:p>
    <w:p>
      <w:r>
        <w:t xml:space="preserve">b) On the severity  </w:t>
        <w:br/>
        <w:t xml:space="preserve">192. When assessing the severity of an infringement, the Authority takes into account, in particular, the nature of the practices it pursues, the persons likely to be affected, and the objective characteristics of the infringement (secret or not, degree of sophistication, existence of policing mechanisms or retaliatory measures, circumvention of legislation, etc.) (paragraph 26 of the sanctions communiqué).  </w:t>
        <w:br/>
        <w:t xml:space="preserve">193. According to consistent case law and decision-making practice, vertical agreements involving companies active at different stages of the production chain are considered with less severity than horizontal agreements between competitors.  </w:t>
        <w:br/>
        <w:t xml:space="preserve">194. Nevertheless, concerning vertical agreements on prices, the Paris Court of Appeal specified that "vertical agreements on prices, constituting 'hardcore restrictions' within the meaning of European Regulation No. 2790 of December 27, 1999 [...] even if they are not regarded with as much severity as horizontal agreements, are among the most serious anti-competitive practices; the effects of such practices, beneficial for both suppliers and distributors, tend to eliminate intra-brand competition, which deserves to be preserved all the more as consumers are attached to brands, even if inter-brand competition remains" (judgment of January 28, 2009, case known as "toys," No. 2008/00255, p. 17) (emphasis added).  </w:t>
        <w:br/>
        <w:t xml:space="preserve">195. In this case, regarding the nature of the infringement, the contested practices contributed to harmonizing the prices of products from a given producer and thus, to reducing intra-brand competition within resale networks, thereby depriving final consumers of the opportunity to benefit from competitive prices.  </w:t>
        <w:br/>
        <w:t xml:space="preserve">196. Regarding the nature of the persons likely to be affected, it should be noted that this concerns both distributors and individual consumers, whose ability to fully engage in competition among distributors and benefit from the best price has been limited.  </w:t>
        <w:br/>
        <w:t xml:space="preserve">197. Finally, concerning the objective characteristics of the infringement, the observed practices included, as developed above, measures of surveillance, policing, and retaliation, extending to the supply disruption of the retailer Indoorgrowing for not respecting the prices imposed by Metrop, which is likely to confer a certain degree of severity to them.  </w:t>
        <w:br/>
        <w:t>198. It follows from all these elements that the practices in question can be considered particularly serious.</w:t>
      </w:r>
    </w:p>
    <w:p>
      <w:r>
        <w:t xml:space="preserve">c) On the damage caused to the economy  </w:t>
        <w:br/>
        <w:t>199. It is a consistent decision-making practice and case law that the significance of the damage caused to the economy is assessed globally for the practices in question, that is to say, in light of the cumulative action of all participants, without the need to identify the share attributable to each of them taken separately (Authority decision No. 13-D-09 of April 17, 2013, concerning practices implemented in the market for the reconstruction of watchtowers at the Perpignan prison, paragraph 162, judgments of the Court of Cassation of February 18, 2004, CERP e.a., No. 02-11754 and of October 21, 2014, Spie Sud-Ouest e.a, No. 13-16602).</w:t>
      </w:r>
    </w:p>
    <w:p>
      <w:r>
        <w:t xml:space="preserve">200. This legal criterion does not coincide with the harm that the victims of the practices in question may have suffered, but is assessed based on the general disruption that these practices are likely to cause to the economy (see, for example, judgment of the Paris Court of Appeal of October 8, 2008, SNEF, No. 2007/18040, p. 4).  </w:t>
        <w:br/>
        <w:t xml:space="preserve">201. The Authority, while not required to precisely quantify the damage caused to the economy, must, however, carry out an assessment of its existence and significance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by the judgment of the Court of Cassation No. 11-22.144 of May 30, 2012, and of January 26, 2012, Beauté Prestige International e.a., No. 2012/23945, p. 89). The existence of damage to the economy cannot therefore be presumed.  </w:t>
        <w:br/>
        <w:t xml:space="preserve">202. In accordance with established case law, the Authority takes into account, in particular, to assess the economic impact of the practice in question, the extent of the infringement as characterized, among other things, by its geographical coverage or by the cumulative market share of the parties in the relevant sector, its duration, the conjunctural or structural consequences, as well as the relevant economic characteristics of the relevant sector (see, for example, the judgment of the Paris Court of Appeal of June 30, 2011, Orange France cited above, and of October 11, 2012, Entreprise H. Chevalier Nord, No. 2011/03298, p. 70). Both proven and potential effects of the practice may be taken into consideration in this regard (see, in this sense, judgment of the Court of Cassation of June 28, 2005, Novartis Pharma, No. 04-13910).  </w:t>
        <w:br/>
        <w:t xml:space="preserve">203. In this case, it should first be noted that, as the manager of Metrop himself specified in his written observations, the objective pursued by the practices was to increase the margins of resellers, which by definition implies a price increase greater than cost variations.  </w:t>
        <w:br/>
        <w:t xml:space="preserve">204. Furthermore, it should be emphasized that compliance with the imposed prices was particularly monitored by retailers and wholesalers, except for some promotions by C.I.S conducted on its website in 2012 (references 129 to 135).  </w:t>
        <w:br/>
        <w:t xml:space="preserve">205. Moreover, if, independently of the contested practice, several distributors would likely have spontaneously aligned with the selling prices displayed on the websites of C.I.S. and Hydro Factory, on the one hand, the practice in question may have artificially reduced competition between these two main distributors, and thus between their two significant networks; on the other hand, it may have prevented some lesser-known retailers from practicing low prices as they had been able to do before the implementation of retaliatory measures.  </w:t>
        <w:br/>
        <w:t xml:space="preserve">206. Finally, the practices are also characterized by the fact that they were implemented with respect to the two main wholesalers and their wholesale prices, whose compliance with the recommended prices was closely monitored.  </w:t>
        <w:br/>
        <w:t xml:space="preserve">207. Regarding the extent of the practices, while they are of national scope, they did not, however, involve all wholesalers in relation to Metrop. The presence of wholesalers with respect to whom the imposed resale price practices were not, potentially, implemented may have allowed for the maintenance of intra-brand competition. However, this effect must again be relativized, as the wholesalers targeted by the practices are the largest in the sector and together represent about 60% of the wholesale market (reference 1685).  </w:t>
        <w:br/>
        <w:t>208. Furthermore, as seen previously, there are about twenty producers of liquid fertilizers for soilless cultivation (references 26 to 28) and Metrop is an operator of</w:t>
      </w:r>
    </w:p>
    <w:p>
      <w:r>
        <w:rPr>
          <w:b/>
        </w:rPr>
        <w:t>[Pages 34–36]</w:t>
      </w:r>
    </w:p>
    <w:p>
      <w:r>
        <w:t xml:space="preserve">small size. The extent of the price increase resulting from the imposed selling price practices could thus be limited by competition among manufacturers.  </w:t>
        <w:br/>
        <w:t xml:space="preserve">209. However, it appears from the elements of the file that Metrop products have "the particularity of being highly concentrated," and are positioned, from a pricing perspective, "in the upper range of the categories" (reference 1687). The retailer Indoorgrowing confirms, on its part, that "Metrop products are in high demand" due to their quality and concentration of active ingredients and that "someone who comes to buy Metrop only wants that brand, I cannot sell them anything else," and specifies that it has lost several important clients following the supply disruption of Metrop products (reference 386). This specificity of Metrop products confirms the existence of a certain brand differentiation in the market for fertilizers intended for domestic soilless cultivation, which may have limited the intensity of inter-brand competition.  </w:t>
        <w:br/>
        <w:t xml:space="preserve">210. Finally, as recalled by the Authority in decision No. 07-D-50 "Toys," "vertical restrictive practices (particularly those concerning prices) can have anti-competitive effects even when inter-brand competition is strong. Imposed pricing practices can facilitate market cartelization if the vertical structures are not independent and if suppliers negotiate with the same distributors" (paragraph 718 of the decision citing economic literature on vertical restrictions, P. Rey and T. Vergé, 2007, "Economics of vertical restraints," Handbook of Antitrust Economics, MIT Press). In this case, as indicated in decision No. 18-D-26 of December 20, 2018, the manufacturers of the concerned products sell them through the same wholesalers, who are informed of the implementation of imposed resale price practices by different competitors (references 2538 and 2539). These wholesalers are also, to some extent, informed of the participation in these practices of their main competitor in the wholesale market (references 2554, 2582, and 2583). They can finally serve as wholesalers to competing manufacturers not targeted by the practices, but who will be indirectly affected by them, to the extent that the wholesaler will adjust the margin it makes on these products to that authorized by the manufacturers directly involved in the practices.  </w:t>
        <w:br/>
        <w:t xml:space="preserve">211. It follows from all these elements that the damage to the economy caused by the practices appears certain, but moderate, due to the maintenance of relative competition among manufacturers on the one hand, and among retailers on the other.  </w:t>
        <w:br/>
        <w:t xml:space="preserve">d) Conclusion on the proportion of the sanction bases to retain  </w:t>
        <w:br/>
        <w:t xml:space="preserve">212. Given the assessment it has made above of the particular severity of the facts and the certain but moderate importance of the damage to the economy in the relevant sector, the Authority will retain, to determine the base amount of the sanction imposed on the companies involved, a proportion of 9% of the value retained as the basis for the amount of monetary sanctions.  </w:t>
        <w:br/>
        <w:t xml:space="preserve">e) On the consideration of the duration of the companies' participation in the practices  </w:t>
        <w:br/>
        <w:t xml:space="preserve">213. The duration of the infringement is a relevant factor that should be taken into account in the assessment of both the severity of the facts and the importance of the damage to the economy. Indeed, the longer an infringement lasts, the greater the harm it causes to the free play of competition and the disruption it causes to the functioning of the sector in question, and more generally to the economy, is likely to be substantial.  </w:t>
        <w:br/>
        <w:t xml:space="preserve">214.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to the economy, is applied once, for the first full year of individual participation of each company involved, to the value of its sales during the reference accounting year, and then to half of that value, for each of the following full years; beyond the last full year of participation in the infringement, the remaining period is taken into account on a monthly basis, to the extent that the elements of the file allow it.  </w:t>
        <w:br/>
        <w:t xml:space="preserve">215. In each specific case, this method results in a multiplier coefficient, defined proportionally to the individual duration of participation of each company in the infringement and applied to the proportion of the value of sales made by each of them during the accounting year retained as a reference.  </w:t>
        <w:br/>
        <w:t xml:space="preserve">216. The table below summarizes the coefficients retained for each company and each grievance concerned in this case.  </w:t>
        <w:br/>
        <w:t xml:space="preserve">Coefficient duration  </w:t>
        <w:br/>
        <w:t xml:space="preserve">Metrop-Hydro 2.16  </w:t>
        <w:br/>
        <w:t xml:space="preserve">Metrop-C.I.S 1.45  </w:t>
        <w:br/>
        <w:t xml:space="preserve">Hydro 2.16  </w:t>
        <w:br/>
        <w:t xml:space="preserve">C.I.S 1.45  </w:t>
        <w:br/>
        <w:t xml:space="preserve">f) Conclusion on the determination of the base amount  </w:t>
        <w:br/>
        <w:t xml:space="preserve">217. It follows from all that precedes, in light of the severity of the facts and the importance of the damage caused to the economy by the practices in question, that the base amounts of the sanctions determined in proportion to the sales related to the marketing of the products in connection with the infringements committed by the companies involved, on the one hand, and the duration of the practices, on the other hand, are as follows:  </w:t>
        <w:br/>
        <w:t xml:space="preserve">Company Base amount (in euros)  </w:t>
        <w:br/>
        <w:t xml:space="preserve">Metrop 13,804  </w:t>
        <w:br/>
        <w:t xml:space="preserve">Hydro 12,472  </w:t>
        <w:br/>
        <w:t xml:space="preserve">Factory/Logistics C.I.S 11,114  </w:t>
        <w:br/>
        <w:t xml:space="preserve">3. ON THE INDIVIDUALIZATION OF SANCTIONS  </w:t>
        <w:br/>
        <w:t xml:space="preserve">218. The Authority has committed to adapting the base amounts retained above in light of the legal criterion concerning the individual situation of each of the parties involved, whether they are organizations or companies, belonging, where applicable, to larger groups.  </w:t>
        <w:br/>
        <w:t xml:space="preserve">219. To this end, and based on the elements specific to each case, it may take into account various mitigating or aggravating circumstances characterizing the behavior of each company in the implementation of the infringements in question, as well as other relevant objective elements relating to its individual situation. This consideration may lead to adjusting the sanction both upwards and downwards.  </w:t>
        <w:br/>
        <w:t xml:space="preserve">220. In this regard, the company Metrop believes that the practices in question aimed to support retailers by ensuring them a sufficient margin and that this circumstance should therefore work in its favor.  </w:t>
        <w:br/>
        <w:t xml:space="preserve">221. Nevertheless, such practices, anti-competitive by object, cannot lead to the benefit of any mitigating circumstance.  </w:t>
        <w:br/>
        <w:t xml:space="preserve">222. No element of the file allows for the consideration that any of the companies involved played a particular role in the design or implementation of the agreement, and no aggravating or mitigating circumstance will be retained in this case.  </w:t>
        <w:br/>
        <w:t xml:space="preserve">4. ON FINAL ADJUSTMENTS  </w:t>
        <w:br/>
        <w:t xml:space="preserve">a) On the verification of compliance with the legal maximum  </w:t>
        <w:br/>
        <w:t xml:space="preserve">223. In this case, in light of the assessment elements presented above, the sanctions that the Authority could impose on the companies involved are all below the legal ceiling, as recalled above in paragraphs 179 and 181.  </w:t>
        <w:br/>
        <w:t xml:space="preserve">b) On the financial situation of the companies  </w:t>
        <w:br/>
        <w:t xml:space="preserve">224. Regarding the elements specific to the situation of each company or organization involved, the Authority has finally committed to assessing the particular financial difficulties that may reduce the contributory capacity that the parties claim to exist, according to the practical modalities indicated in the sanctions press release.  </w:t>
        <w:br/>
        <w:t xml:space="preserve">225. It is up to the company that considers itself concerned to justify the existence of such difficulties by relying on reliable, complete, and objective evidence attesting to their reality and their concrete consequences on its contributory capacity (see, in this sense, the judgment of the Paris Court of Appeal of October 11, 2012, H. Chevalier Nord Company et al., No. 2011/03298, p. 73).  </w:t>
        <w:br/>
        <w:t>226. In this case, the companies Hydro Factory/Hydro Logistics and Metrop have mentioned the existence of particular financial difficulties that they believe limit their contributory capacity.</w:t>
      </w:r>
    </w:p>
    <w:p>
      <w:r>
        <w:rPr>
          <w:b/>
        </w:rPr>
        <w:t>[Pages 37–38]</w:t>
      </w:r>
    </w:p>
    <w:p>
      <w:r>
        <w:t xml:space="preserve">227. Regarding Hydro Factory/Hydro Logistique, the examination of the financial and accounting elements provided in support of its request leads the Authority to conclude that they constitute, in fact, reliable, complete, and objective evidence attesting to the existence of particular and current financial difficulties affecting its ability to comply with the sanction that the Authority intends to impose on it.  </w:t>
        <w:br/>
        <w:t xml:space="preserve">228. The Authority particularly notes that the company's activity has ceased for more than a year, that all employees have been laid off, that the warehouse has been returned, and finally, that this company is to be placed in liquidation soon.  </w:t>
        <w:br/>
        <w:t xml:space="preserve">229. In light of the situation of this company, there is no need to impose a monetary sanction on it.  </w:t>
        <w:br/>
        <w:t xml:space="preserve">230. In contrast, the company Metrop does not provide any elements capable of demonstrating the existence of financial difficulties affecting its contributory capacity, in light of the amount of the sanction that the Authority intends to impose on it.  </w:t>
        <w:br/>
        <w:t xml:space="preserve">c) On the final amount of the sanctions  </w:t>
        <w:br/>
        <w:t xml:space="preserve">231. In view of all the general and individual elements as outlined above, the amount of the sanctions imposed on the companies involved is set at the following rounded sums:  </w:t>
        <w:br/>
        <w:t xml:space="preserve">Company Final sanction  </w:t>
        <w:br/>
        <w:t xml:space="preserve">(in euros)  </w:t>
        <w:br/>
        <w:t xml:space="preserve">Metrop 13,000  </w:t>
        <w:br/>
        <w:t>C.I.S 11,000</w:t>
      </w:r>
    </w:p>
    <w:p>
      <w:r>
        <w:t xml:space="preserve">DECISION  </w:t>
        <w:br/>
        <w:t xml:space="preserve">Article 1: It is established that the company Agrotechniek B.V., ensuring the economic continuity of the company Agrotechniek Metrop, which is no longer in existence today, and the companies Hydro Factory/Hydro Logistique, as authors, have violated the provisions of Articles L. 420-1 of the Commercial Code and 101(1) of the TFEU, by participating in a vertical price agreement between September 2010 and December 2013.  </w:t>
        <w:br/>
        <w:t xml:space="preserve">Article 2: It is established that the company Agrotechniek B.V., ensuring the economic continuity of the company Agrotechniek Metrop, which is no longer in existence today, and the company C.I.S, as author, have violated the provisions of Articles L. 420-1 of the Commercial Code and 101(1) of the TFEU, by participating in a vertical price agreement between December 2011 and October 2013.  </w:t>
        <w:br/>
        <w:t xml:space="preserve">Article 3: The following monetary sanctions are imposed:  </w:t>
        <w:br/>
        <w:t xml:space="preserve"> on the company Agrotechniek B.V. ensuring the economic continuity of the company Agrotechniek Metrop, for the practices referred to in Articles 1 and 2, a sanction of 13,000 euros;  </w:t>
        <w:br/>
        <w:t xml:space="preserve"> on the company C.I.S, for the practices referred to in Article 2, a sanction of 11,000 euros.  </w:t>
        <w:br/>
        <w:t xml:space="preserve">Article 4: There is no need to impose a monetary sanction against the companies Hydro Factory/Hydro Logistique.  </w:t>
        <w:br/>
        <w:t xml:space="preserve">Deliberated following the instruction of Ms. Laura Souty, rapporteur, on the oral report of Mr. Stanislas Martin, general rapporteur, by Ms. Fabienne Siredey-Garnier, vice-president, chair of the session, Ms. Séverine Larere and Mr. Alexandre Menais, members.  </w:t>
        <w:br/>
        <w:t xml:space="preserve">The session secretary, The session chair,  </w:t>
        <w:br/>
        <w:t>Armelle Hillion Fabienne Siredey-Garnier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