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https://www.autoritedelaconcurrence.fr/fr/decision/relative-des-pratiques-mises-en-oeuvre-dans-le-secteur-de-la-commercialisation-des-vins-en</w:t>
      </w:r>
    </w:p>
    <w:p>
      <w:r>
        <w:t>Pages translated : 29</w:t>
      </w:r>
    </w:p>
    <w:p/>
    <w:p>
      <w:r>
        <w:rPr>
          <w:b/>
        </w:rPr>
        <w:t>[Pages 1–3]</w:t>
      </w:r>
    </w:p>
    <w:p>
      <w:r>
        <w:t xml:space="preserve">FRENCH REPUBLIC  </w:t>
        <w:br/>
        <w:t xml:space="preserve">Decision No. 18-D-06 of May 23, 2018  </w:t>
        <w:br/>
        <w:t xml:space="preserve">regarding practices implemented in the sector of  </w:t>
        <w:br/>
        <w:t xml:space="preserve">marketing bulk AOC wines from the Côtes du Rhône  </w:t>
        <w:br/>
        <w:t xml:space="preserve">The Competition Authority (section IV),  </w:t>
        <w:br/>
        <w:t xml:space="preserve">Having regard to Decision No. 15-SO-10 of September 4, 2015, registered under number 15/0074 F, by which the Competition Authority initiated proceedings ex officio regarding practices implemented in the sector of marketing wines from the Côtes du Rhône;  </w:t>
        <w:br/>
        <w:t xml:space="preserve">Having regard to the decision of the General Rapporteur dated November 20, 2017, made pursuant to Article L. 463-3 of the Commercial Code, which provides that the case will be subject to a decision by the Competition Authority without prior establishment of a report;  </w:t>
        <w:br/>
        <w:t xml:space="preserve">Having regard to the business secrecy decisions, No. 17-DSA-102 of March 7, 2017, No. 17-DSA-106 of March 9, 2017, No. 17-DSA-107 of March 9, 2017, No. 17-DEC-122 of March 17, 2017, No. 17-DSA-173 of April 19, 2017, No. 17-DSA-224 of May 24, 2017, No. 17-DSA-344 of August 28, 2017, No. 17-DEC-388 of September 25, 2017, No. 17-DEC-412 of October 12, 2017, No. 17 DECR-502 of November 17, 2017;  </w:t>
        <w:br/>
        <w:t xml:space="preserve">Having regard to the Treaty on the Functioning of the European Union (TFEU), and in particular, the first paragraph of Article 101;  </w:t>
        <w:br/>
        <w:t xml:space="preserve">Having regard to Book IV of the Commercial Code and in particular Article L. 420-1;  </w:t>
        <w:br/>
        <w:t xml:space="preserve">Having regard to the other documents in the file;  </w:t>
        <w:br/>
        <w:t xml:space="preserve">Having regard to the observations presented by the General Union of Winemakers of the Côtes du Rhône and by the Government Commissioner;  </w:t>
        <w:br/>
        <w:t xml:space="preserve">The Deputy General Rapporteur, the Government Commissioner, and the representatives of the General Union of Winemakers of the Côtes du Rhône heard during the session of the Competition Authority on March 20, 2018;  </w:t>
        <w:br/>
        <w:t>Adopts the following decision:</w:t>
      </w:r>
    </w:p>
    <w:p>
      <w:r>
        <w:t xml:space="preserve">Summary1:  </w:t>
        <w:br/>
        <w:t xml:space="preserve">By the terms of the decision below, the Competition Authority imposed a fine of 20,000 euros on the General Union of Winemakers of the Côtes du Rhône (SGVRCDR) for an anti-competitive collusion practice.  </w:t>
        <w:br/>
        <w:t xml:space="preserve">Initiated by the transmission of an administrative investigation report by the services of the Minister of Economy to the General Rapporteur of the Authority, the investigation conducted in this case revealed that for each wine campaign from 2010 to 2017, the members of the SGVRCDR, during meetings of the union's governing bodies, developed minimum price schedules for bulk AOC wines from the Côtes du Rhône according to their color (white, rosé, red) and, for red wines, according to product ranges ("entry-level", "mid-range", and "high-end"). The dissemination of these schedules was ensured by the magazine "Le Vigneron", the organization of "sector" meetings, and the sending of newsletters to members, all systematically accompanied by a discourse encouraging winemakers to refer to these schedules during commercial negotiations.  </w:t>
        <w:br/>
        <w:t xml:space="preserve">However, the condemned union, which does not have the nature or functions of a producer organization ("OP") or an association of producer organizations ("AOP") for marketing, cannot benefit from the exemption introduced by the European Omnibus Regulation (Regulation No. 2017/2393 of December 13, 2017) to Article 152 1.bis of the OCM Regulation (Regulation No. 1308/2013 of December 17, 2013, establishing a common organization of agricultural product markets). Indeed, this allows only recognized OPs and AOPs, which concentrate the supply of their members and market their production, to negotiate common contractual conditions for all of their members' production.  </w:t>
        <w:br/>
        <w:t xml:space="preserve">While a professional union can disseminate information intended to assist its members in managing their business, the assistance provided must not exert direct or indirect influence on the free play of competition within the profession, in any way whatsoever. In particular, the indications given must not have the purpose or effect of diverting businesses from a direct understanding of their own costs that allows them to determine their selling price individually.  </w:t>
        <w:br/>
        <w:t xml:space="preserve">Thus, by developing and disseminating general minimum price guidelines, the SGVRCDR encouraged its members to move away from a direct understanding of their commercial strategy that would allow them to set their prices independently and distorted negotiations with customers.  </w:t>
        <w:br/>
        <w:t xml:space="preserve">Through its behavior, the SGVRCDR therefore harmed the functioning of competition in this sector.  </w:t>
        <w:br/>
        <w:t>1 This summary is strictly indicative. Only the reasons for the decision numbered below are authoritative.</w:t>
      </w:r>
    </w:p>
    <w:p>
      <w:r>
        <w:t xml:space="preserve">SUMMARY  </w:t>
        <w:br/>
        <w:t xml:space="preserve">I. Findings .................................................................................... 5  </w:t>
        <w:br/>
        <w:t xml:space="preserve">A. THE REFERRAL ....................................................................................................................................... 5  </w:t>
        <w:br/>
        <w:t xml:space="preserve">B. THE RELEVANT SECTOR ..................................................................................................................... 5  </w:t>
        <w:br/>
        <w:t xml:space="preserve">1. DESCRIPTION OF THE SECTOR ................................................................................................... 5  </w:t>
        <w:br/>
        <w:t xml:space="preserve">a) The products concerned........................................................................................ 5  </w:t>
        <w:br/>
        <w:t xml:space="preserve">b) The different ranges of CDR wines and their main marketing circuits .................................................................................................... 6  </w:t>
        <w:br/>
        <w:t xml:space="preserve">c) The organization of activities in the sector of marketing AOC wines from the Côtes du Rhône ................................................................................................. 6  </w:t>
        <w:br/>
        <w:t xml:space="preserve">2. THE LEGAL FRAMEWORK ............................................................................................................ 8  </w:t>
        <w:br/>
        <w:t xml:space="preserve">3. THE WINE CRISIS OF 2002 ......................................................................................................... 8  </w:t>
        <w:br/>
        <w:t xml:space="preserve">4. REACTIONS TO THE CRISIS AND CONTACTS WITH THE INTERPROFESSION ................... 8  </w:t>
        <w:br/>
        <w:t xml:space="preserve">C. THE PRACTICE OBSERVED ................................................................................................................. 9  </w:t>
        <w:br/>
        <w:t xml:space="preserve">1. CONTACTS WITH THE DIRECCTE PACA ................................................................................. 10  </w:t>
        <w:br/>
        <w:t xml:space="preserve">2. THE DEVELOPMENT AND VALIDATION OF TARIFF RECOMMENDATIONS BY THE UNION'S BODIES ................................................................................................................. 10  </w:t>
        <w:br/>
        <w:t xml:space="preserve">3. THE CHANNELS FOR DISSEMINATING UNION TARIFF RECOMMENDATIONS ..................... 12  </w:t>
        <w:br/>
        <w:t xml:space="preserve">a) Publications in the magazine "Le Vigneron" ...................................................... 12  </w:t>
        <w:br/>
        <w:t xml:space="preserve">b) Newsletters ........................................................................................................... 13  </w:t>
        <w:br/>
        <w:t xml:space="preserve">c) Public meetings .................................................................................................. 14  </w:t>
        <w:br/>
        <w:t xml:space="preserve">4. THE APPLICATION OF SGVRCDR TARIFF RECOMMENDATIONS .................................... 14  </w:t>
        <w:br/>
        <w:t xml:space="preserve">a) The application of the practice according to the union's own documents ........ 14  </w:t>
        <w:br/>
        <w:t xml:space="preserve">b) The application of the practice according to other elements in the file .......... 15  </w:t>
        <w:br/>
        <w:t xml:space="preserve">5. THE DURATION OF THE PRACTICE AND THE PARTICIPATION OF THE CONCERNED ENTITY ............... 16  </w:t>
        <w:br/>
        <w:t xml:space="preserve">D. THE NOTIFIED GRIEVANCE ................................................................................................................ 16  </w:t>
        <w:br/>
        <w:t xml:space="preserve">II. Discussion ..................................................................................... 17  </w:t>
        <w:br/>
        <w:t xml:space="preserve">A. APPLICABLE LAW ............................................................................................................................ 17  </w:t>
        <w:br/>
        <w:t xml:space="preserve">B. THE RELEVANT MARKET ................................................................................................................ 17  </w:t>
        <w:br/>
        <w:t xml:space="preserve">C. ON THE PRACTICE IMPLEMENTED BY A PROFESSIONAL ORGANIZATION .......................... 18  </w:t>
        <w:br/>
        <w:t xml:space="preserve">1. REMINDER OF PRINCIPLES ........................................................................................................ 18  </w:t>
        <w:br/>
        <w:t xml:space="preserve">2. APPLICATION TO THE CASE AT HAND .................................................................................... 20  </w:t>
        <w:br/>
        <w:t xml:space="preserve">3. ON THE UNION'S ARGUMENTS IN FAVOR OF THE PRACTICE .................................................. 21  </w:t>
        <w:br/>
        <w:t xml:space="preserve">4. ON THE DURATION OF THE PRACTICE ....................................................................................... 23  </w:t>
        <w:br/>
        <w:t xml:space="preserve">III. Sanctions ...................................................................................... 24  </w:t>
        <w:br/>
        <w:t>A. ON THE FINANCIAL SANCTION .................................................................................................... 24</w:t>
      </w:r>
    </w:p>
    <w:p>
      <w:r>
        <w:rPr>
          <w:b/>
        </w:rPr>
        <w:t>[Pages 4–6]</w:t>
      </w:r>
    </w:p>
    <w:p>
      <w:r>
        <w:t xml:space="preserve">III. Sanctions ...................................................................................... 24  </w:t>
        <w:br/>
        <w:t xml:space="preserve">A. ON THE FINANCIAL SANCTION ............................................................................................. 24  </w:t>
        <w:br/>
        <w:t xml:space="preserve">1. THE APPLICABLE RULES .................................................................................................. 24  </w:t>
        <w:br/>
        <w:t xml:space="preserve">2. APPLICATION IN THIS CASE .......................................................................................... 24  </w:t>
        <w:br/>
        <w:t xml:space="preserve">a) The seriousness of the practice .................................................................................. 25  </w:t>
        <w:br/>
        <w:t xml:space="preserve">b) The significance of the damage caused to the economy ............................................. 26  </w:t>
        <w:br/>
        <w:t xml:space="preserve">c) The amount of the sanction ......................................................................................... 27  </w:t>
        <w:br/>
        <w:t xml:space="preserve">d) The verification of compliance with the legal maximum ............................................. 27  </w:t>
        <w:br/>
        <w:t xml:space="preserve">e) Taking into account the contributory capacity ............................................................ 27  </w:t>
        <w:br/>
        <w:t xml:space="preserve">B. ON THE INJUNCTIONS FOR PUBLICATION AND COMMUNICATION .......................... 27  </w:t>
        <w:br/>
        <w:t>DECISION ......................................................................................................................... 29</w:t>
      </w:r>
    </w:p>
    <w:p>
      <w:r>
        <w:t xml:space="preserve">I. Findings  </w:t>
        <w:br/>
        <w:t xml:space="preserve">A. THE REFERRAL  </w:t>
        <w:br/>
        <w:t xml:space="preserve">1. By letter dated July 21, 2015, the Minister of Economy, pursuant to Article L. 450-5 of the Commercial Code, informed the General Rapporteur of the Competition Authority of the results of investigations conducted in the wine marketing sector of the Côtes du Rhône.  </w:t>
        <w:br/>
        <w:t xml:space="preserve">2. The administrative investigation report dated April 30, 2015, prepared by the Regional Directorate for Enterprises, Competition, Consumer Affairs, Labor, and Employment of Provence Alpes Côte d'Azur and transmitted to the Authority, reported a collusion practice among the members of the General Union of Winemakers of the Côtes du Rhône ("SGVRCDR") (pages 3 to 38), which allegedly disseminated from 2010 to 2014, through its magazine "Le Vigneron des Côtes du Rhône et du Sud-Est" and during information meetings, pricing guidelines to encourage winemakers to increase the minimum selling price of bulk wine from the Côtes du Rhône.  </w:t>
        <w:br/>
        <w:t xml:space="preserve">3. By decision No. 15-SO-10 dated September 4, 2015, the Authority initiated proceedings ex officio regarding practices implemented in the wine marketing sector of the Côtes du Rhône under number 15/0074 F (reference 2).  </w:t>
        <w:br/>
        <w:t xml:space="preserve">B. THE RELEVANT SECTOR  </w:t>
        <w:br/>
        <w:t xml:space="preserve">1. DESCRIPTION OF THE SECTOR  </w:t>
        <w:br/>
        <w:t xml:space="preserve">a) The products concerned  </w:t>
        <w:br/>
        <w:t xml:space="preserve">4. The vineyard of the Côtes du Rhône ("CDR"), which covers approximately 54,544 hectares, constitutes the second vineyard of controlled designation of origin ("AOC") wines in France (reference 432).  </w:t>
        <w:br/>
        <w:t xml:space="preserve">5. The designation is structured into four levels: the grand crus of the Côtes du Rhône, the Côtes du Rhône Village with geographical name, the Côtes du Rhône Village without geographical name, and the regional Côtes du Rhône (reference 6066). Each of these designations complies with a specification approved by decree, the observance of which is monitored by an independent organization, under the authority of the National Institute of Origin and Quality ("INAO"). A portion of the production of the AOCs of the Rhône Valley comes from organic farming (references 3395 and 3370).  </w:t>
        <w:br/>
        <w:t>6. The estimated annual harvests in hectoliters mainly consist of regional red CDR (references 3393 and 3396). Between 2014 and 2016, the AOC turnover of the Rhône Valley fluctuated between 1.47 and 1.54 billion euros (references 411 and 432).</w:t>
      </w:r>
    </w:p>
    <w:p>
      <w:r>
        <w:t xml:space="preserve">b) The different ranges of CDR wines and their main marketing channels  </w:t>
        <w:br/>
        <w:t xml:space="preserve">7. Wine can be marketed in packaged form in bottles or in cubitainers or wine bags in cardboard boxes also called "bag in box" or "BIB," on one hand, and in bulk, meaning in volume directly taken from the tank and transported by tanker truck, on the other hand. This latter category is the one concerned by the practice in question.  </w:t>
        <w:br/>
        <w:t xml:space="preserve">8. From a marketing perspective, there is entry-level (prices below 2.5 euros including VAT/bottle in large distribution for red CDR), mid-range (prices between 2.5 and 4 euros including VAT/bottle in large distribution for red CDR), and high-end which includes more expensive wines.  </w:t>
        <w:br/>
        <w:t xml:space="preserve">9. Sales of AOC wines from the Rhône Valley are distributed among various distribution channels, in order of importance, including exports and large distribution, traditional circuits, café, hotel, restaurant, direct sales, and finally, hard discount. Between 2010 and 2015, exports represented 26% to 32% of CDR wine sales, and sales in Large and Medium Surface ("GMS") accounted for 29% to 31%.  </w:t>
        <w:br/>
        <w:t xml:space="preserve">10. In 2013, the Côtes du Rhône represented 19.1% of the value of AOC wine sales made by GMS, making it the second most sold designation after Bordeaux wines (reference 563). This mainly consists of entry-level wine (references 3416 and 3417).  </w:t>
        <w:br/>
        <w:t xml:space="preserve">c) The organization of activities in the marketing sector of AOC wines from the Côtes du Rhône  </w:t>
        <w:br/>
        <w:t xml:space="preserve">11. The marketing of bulk wines from the Côtes du Rhône connects producers, upstream, and various trading actors, downstream (reference 469).  </w:t>
        <w:br/>
        <w:t xml:space="preserve">The actors in the production of CDR wines  </w:t>
        <w:br/>
        <w:t xml:space="preserve">12. Production mainly involves winemakers and grape growers. From 2011 to 2015, the number of harvest declarants fluctuated between 5,200 and 5,300 in the CDR vineyard (references 1134, 1150, 1160, 411, 432).  </w:t>
        <w:br/>
        <w:t xml:space="preserve">13. Operators wishing to produce AOC Côtes du Rhône wines must first be identified and authorized for production, winemaking, and/or bottling activities. First, the identification procedure is conducted by the defense and management organization ("ODG"), namely the General Union of Winemakers of the Côtes du Rhône, which registers the producer's identification request and conducts a pre-examination, then an external control organization verifies and establishes an inspection report. Finally, authorization is granted by the INAO (reference 3266).  </w:t>
        <w:br/>
        <w:t xml:space="preserve">The actors in the trading of CDR wines  </w:t>
        <w:br/>
        <w:t>14. Sales are primarily made through trading (68%). Two types of traders are distinguished. On one hand, "bulk buyers" purchase and resell large volumes in bulk at cut prices. This intermediary trade, which generates low margins, is heavily concentrated around three regional actors and several foreign actors (references 3266 and 3415). On the other hand, "bottling traders" seek quality products, purchase bulk wine, and bottle it.</w:t>
      </w:r>
    </w:p>
    <w:p>
      <w:r>
        <w:rPr>
          <w:b/>
        </w:rPr>
        <w:t>[Pages 7–9]</w:t>
      </w:r>
    </w:p>
    <w:p>
      <w:r>
        <w:t xml:space="preserve">The bulk wine marketing campaign in the CDR  </w:t>
        <w:br/>
        <w:t xml:space="preserve">15. According to Article 6 of European Regulation No. 1308/2013 of December 17, 2013, the wine marketing campaign or "vintage campaign" lasts from August 1 of each year to July 31 of the following year. During this period, it is possible to market the vintage of the current year and those of previous years that remain in stock (reference 855).  </w:t>
        <w:br/>
        <w:t xml:space="preserve">16. However, commercial relationships between producers and negotiators can be established upstream, even before the harvest for high-end products, and may be subject to annual or multi-year contracts. Certain categories of wine can be marketed before the official marketing date, namely the "Côtes du Rhône primeur" (reference 1423). Conversely, for entry-level products, particularly intended for large retail chains (GMS), commercial transactions are often established through brokers and result in spot contracts (references 3275 and 3276, 3416, 3417).  </w:t>
        <w:br/>
        <w:t xml:space="preserve">Professional organizations related to CDR wines  </w:t>
        <w:br/>
        <w:t xml:space="preserve">The General Union of Winemakers of the Côtes du Rhône or ("SGVRCDR")  </w:t>
        <w:br/>
        <w:t xml:space="preserve">17. This union was established in 1929. Pursuant to Article L. 462-17 of the Rural Code, it has been recognized as an ODG, notably for the AOC Côtes du Rhône and Côtes du Rhône villages. As such, it contributes to the public interest mission of preserving and enhancing the terroirs, local traditions, and know-how, as well as the products derived from them. It participates in actions to defend and protect the name, product, and terroir, in the promotion of the product, as well as in the statistical knowledge of the sector (reference 4545).  </w:t>
        <w:br/>
        <w:t xml:space="preserve">18. This professional organization consists of legal members who are the producers, actors involved in the production, transformation, and elaboration of CDR, associated members (local associations or unions, CDR wine cooperatives, etc.), and members of the ODG who are up to date with their voluntary union dues. Between 2010 and 2016, the number of members of the union fluctuated between 4,527 and 3,850.  </w:t>
        <w:br/>
        <w:t xml:space="preserve">19. The SGVRCDR has three decision-making bodies: the board (18 members), the Board of Directors (100 members), and the General Assembly (320 members) which determine and implement union policy (reference VNC 4468). It publishes a magazine titled "Le Vigneron des Côtes du Rhône et du Sud Est" ("Le Vigneron") which is widely distributed among members (reference 4545).  </w:t>
        <w:br/>
        <w:t xml:space="preserve">The Union of Wine Houses of the Rhône or ("UMVR")  </w:t>
        <w:br/>
        <w:t xml:space="preserve">20. The UMVR is the professional union that brings together wine merchants from the Rhône Valley. It includes producer merchants, bulk wine traders, winemakers, growers, and bottlers. To date, it consists of 53 trading companies.  </w:t>
        <w:br/>
        <w:t xml:space="preserve">The Interprofessional Association Inter Rhône  </w:t>
        <w:br/>
        <w:t xml:space="preserve">21. Established in 1955, Inter Rhône brings together representative organizations of producers and merchants of the AOCs of the Rhône Valley. It is an association governed by the 1901 law recognized as an Interprofessional Organization.  </w:t>
        <w:br/>
        <w:t xml:space="preserve">22. The interprofessional association coordinates promotional, economic, and technical actions for the wines of the AOCs in the region. The interprofessional association operates according to three fundamental principles: the representativeness of professional families, parity balance between trade and production, and unanimity for any major decision (references 125 and 1427).  </w:t>
        <w:br/>
        <w:t xml:space="preserve">2. THE LEGAL FRAMEWORK  </w:t>
        <w:br/>
        <w:t xml:space="preserve">23. At the European level, the sector is governed, on the one hand, by Regulation (EC) No. 479/2008 of April 29, 2008, establishing a common organization of the wine market, which repealed Regulations (EEC) No. 2392/86 and (EC) No. 1493/1999 establishing a common organization of the wine market, and, on the other hand, by Regulation No. 1308/2013 of December 17, 2013, establishing a common organization of the markets for agricultural products, which repealed Regulations (EEC) No. 977/72, (EEC) No. 234/79, (EC) No. 1037/2001, and (EC) No. 1234/2007 of the Council.  </w:t>
        <w:br/>
        <w:t xml:space="preserve">24. The first establishes rules aimed at stabilizing the wine market and ensuring a fair standard of living for the agricultural population concerned. It also governs the procedures for granting an AOC and recognizing professional organizations.  </w:t>
        <w:br/>
        <w:t xml:space="preserve">25. The second sets out a set of common rules for the countries of the European Union aimed at supporting and organizing agricultural markets within the framework of the Common Agricultural Policy ("CAP").  </w:t>
        <w:br/>
        <w:t xml:space="preserve">26. Under Article 42 of the Treaty on the Functioning of the European Union (TFEU), the rules relating to agreements, decisions, and practices referred to in Article 101 TFEU apply to the production and trade of agricultural products, insofar as their application does not jeopardize the achievement of the objectives of the CAP set out in Article 39 of the same treaty.  </w:t>
        <w:br/>
        <w:t xml:space="preserve">3. THE WINE CRISIS OF 2002  </w:t>
        <w:br/>
        <w:t xml:space="preserve">27. According to the president of the SGVRCDR, the crisis experienced by producers starting in 2002 was the origin of the union's pricing recommendation strategy. Indeed, in the early 2000s, two phenomena led to a significant deterioration in income per hectare for winemakers.  </w:t>
        <w:br/>
        <w:t xml:space="preserve">28. Firstly, the international wine crisis that occurred in the early 2000s led to a closure of international markets between 2002 and 2003. This international context was compounded by significant flooding on the first day of the harvest (September 8, 2002), during which 600 millimeters of rain fell, considerably degrading the quality of the harvest. As a result, stock levels doubled between 2002 and 2005, rising from 800,000 hectoliters to 1,600,000 hectoliters, leading to disproportionate stocks weighing back on prices.  </w:t>
        <w:br/>
        <w:t xml:space="preserve">29. According to the president of the union, these two concurrent phenomena would have led to a sharp deterioration in winemaker income, which would have dropped from 5,000 euros per hectare to 2,500 euros between January 2004 and July 2004. In this regard, the president of the union stated, "I then [in 2004] took the presidency of the cellar. This crisis was hard. My first sale was 120 euros/hectoliter in January 2004 and 61 euros in July 2004. Every week, we were losing 10 euros on our wine without being able to sell it. The average for the appellation ended at 80 euros."  </w:t>
        <w:br/>
        <w:t xml:space="preserve">4. REACTIONS TO THE CRISIS AND CONTACTS WITH THE INTERPROFESSION  </w:t>
        <w:br/>
        <w:t xml:space="preserve">30. When asked about the 2002 wine crisis and the measures taken to address it, the president of the SGVRCDR stated on March 24, 2017: "It lasted from 2004 to 2009. This economic model remained unchanged for 4/5 years. Alongside this, union measures were implemented to reduce the yield of the appellation and attempt to reduce stock (...) We established, within the interprofessional association, regulatory mechanisms that are part of the interprofessional mission. There was a mechanism to block wine. This wine was not put on the market but reserved, to wait for a better period. (...) This supply control plan yielded no results" (references 3266, 3267, and 3268).  </w:t>
        <w:br/>
        <w:t xml:space="preserve">31. At the same time, a management study launched in 2007 led by the interprofessional association titled "Rhône ambition" set the threshold income for winemakers per hectare at 4,300 euros (reference 3459). In this regard, representatives of the union specified during their hearing that, according to the aforementioned study, "in Côtes du Rhône, starting from 4,300 euros per hectare, the winemaker lives. He earns a minimum wage" (reference 3267).  </w:t>
        <w:br/>
        <w:t xml:space="preserve">32. On this basis, the union developed pricing recommendations for winemakers: "We then sought to re-establish a framework. We created a technical-economic-commercial file to address the quality of the vintage and provide a positioning relative to other appellations. We wanted to re-establish a framework, in the face of a completely fragmented and incoherent vision of winemakers. (...) In this context, we considered pricing recommendations" (references 3266, 3267, 3268).  </w:t>
        <w:br/>
        <w:t xml:space="preserve">33. The union also attempted to obtain the support of the interprofessional association for the proposed measures. However, when asked about the existence of meetings in 2010 between the SGVRCDR and the merchants' union regarding the establishment of floor prices, the SGVRCDR clarified that such a meeting did indeed take place but that "There were never any actions following this meeting. The trade never wanted to define a floor price as such" (references 3273, 3418, and 3419). For his part, the president of the merchants' union in his hearing on March 29, 2017, stated, "There was a discussion where we disagreed on their calculation of the break-even point per hectare: they told us that below a certain price, they were operating at a loss, but we said that this break-even point was overestimated because they took into account poorly quantified costs (for example, their land is not bought but inherited, a new tractor while it was actually amortized, etc.) (...) " (references 3418 and 3419).  </w:t>
        <w:br/>
        <w:t xml:space="preserve">C. THE OBSERVED PRACTICE  </w:t>
        <w:br/>
        <w:t xml:space="preserve">34. In view of the persistence of the crisis and after the failure of the rapprochement undertaken with the Interprofession, representatives of the union turned towards a policy of pricing recommendations. The SGVRCDR launched in 2010 a communication campaign on target prices per hectoliter to be achieved for AOC wine producers.  </w:t>
        <w:br/>
        <w:t>35. After submitting this initiative to the services of the Direccte PACA (1), the bodies of the SGVRCDR established at each new vintage campaign starting from 2010 pricing recommendations to be applied by its members during their commercial negotiations on bulk AOC CDR wines (2). These recommendations, summarized in price grids covering the different categories of red, white, and rosé wines, were disseminated to the members of the union through the magazine "Le Vigneron," newsletters, and during informational meetings (3). The application of these guidelines reported in the annual report of the union also received statements from sector actors (4). This practice continued until the 2016/2017 vintage campaign (5).</w:t>
      </w:r>
    </w:p>
    <w:p>
      <w:r>
        <w:rPr>
          <w:b/>
        </w:rPr>
        <w:t>[Pages 10–12]</w:t>
      </w:r>
    </w:p>
    <w:p>
      <w:r>
        <w:t xml:space="preserve">1. CONTACTS WITH THE DIRECCTE PACA  </w:t>
        <w:br/>
        <w:t xml:space="preserve">36. During the SGVRCDR bureau meeting on October 12, 2010, the representatives of the union stated according to the minutes of the time, “(...) We presented [to the Direccte] our approach [to pricing recommendations]. We received a principle agreement (a human agreement). He [the representative of the Direccte] referred us to an article of the Commercial Code: ‘In my opinion, you can rely on Article L. 420-4 of the Commercial Code to justify your pricing recommendation practice.’ [the representative of the Direccte] indicated to us: ‘the management will send you a letter to remind you of the legislation. We will remind you of the regulations, and this will not prohibit you from proceeding with this practice.’ We received a letter in 2012. (...)” (reference VNC 4467).  </w:t>
        <w:br/>
        <w:t xml:space="preserve">37. On January 9, 2012, the Direccte PACA indeed sent a warning letter to the SGVRCDR regarding its pricing recommendation practice, which specified that “the indication of price recommendations by an interprofessional organization is likely to constitute a restriction of competition and presents a real legal risk in light of competition rules. Indeed, it is unlikely that general recommendations not specific to a brand or label could benefit from an exemption based on Article L. 420-4, I, 2° of the Commercial Code or Article 101 paragraph 3 of the Treaty on the Functioning of the European Union” (references 3280 and 3281).  </w:t>
        <w:br/>
        <w:t xml:space="preserve">38. Regarding this letter, the representatives of the union stated during the hearing on March 24, 2017, that it “reminds us of the regulations and did not specify that we could not fully rely on this article (L. 420-4 of the [Commercial Code] to justify our practice. Armed with this letter, since we were not prohibited from our practice, we continued. The sector was in a very complicated situation” (references 3270 and VNC 4468).  </w:t>
        <w:br/>
        <w:t xml:space="preserve">39. Despite a summons for a hearing by the Direccte in 2014, the President of the union explained that the pricing recommendation practice had persisted, as he had not been “stopped” or “alerted,” the letter from the DGCCRF not formally prohibiting the practice according to him (reference 3277).  </w:t>
        <w:br/>
        <w:t xml:space="preserve">2. THE DEVELOPMENT AND VALIDATION OF PRICING RECOMMENDATIONS BY THE UNION'S BODIES  </w:t>
        <w:br/>
        <w:t xml:space="preserve">40. The SGVRCDR considered the dissemination of pricing recommendations as a means to raise the prices of bulk CDR wines affected by the crisis.  </w:t>
        <w:br/>
        <w:t xml:space="preserve">41. The pricing recommendations sent to members initially encouraged annual price increases, before promoting a consolidation of prices.  </w:t>
        <w:br/>
        <w:t xml:space="preserve">42. From the 2010/2011 wine campaign until the 2013/2014 campaign, grids of annual pricing increase recommendations developed by the union were systematically validated by its various governing bodies (bureau, board of directors, general assembly).  </w:t>
        <w:br/>
        <w:t xml:space="preserve">43. Thus, it appears from the minutes of the SGVRCDR bureau meeting of October 12, 2010, that the necessity to propose “pricing recommendations” to winemakers and to establish an action plan to ensure their wide dissemination was “unanimously accepted by the members,” with the bureau validating the grid related to price recommendations and “the communication plan” which was to allow wide dissemination of this document. (references VNC 3187 and 3188).  </w:t>
        <w:br/>
        <w:t xml:space="preserve">44. The pricing recommendations sent to members aimed to promote annual increases in minimum prices differentiated according to the color of the wines (white, rosé, red) and, for red wines, according to product ranges (“entry-level,” “mid-range,” and “high-end”), also encouraging market segmentation according to quality. As an example, the grid disseminated for the 2010/2011 campaign proposed:  </w:t>
        <w:br/>
        <w:t xml:space="preserve">45. During his interview with the Direccte PACA services on November 20, 2014, the president of the union specified the calculation methods as follows: “The target price of 110 €/hl recommended by the union for the 2010 harvest is calculated as follows: 110 € minus 25 € of cellar costs, which equals 85 € X a theoretical yield of 51hl/ha, resulting in a total turnover of approximately 4500 € / ha, which is a minimum to balance a farm. These figures come from an analytical study conducted by the CER at the request of the interprofessional organization. We communicated these prices to the winemakers (union journal, union meetings, bureau, board of directors, sector meetings), prices that were all the more followed as the 2010 harvest, of excellent quality, was historically very low (yield around 40 hl)” (references 64-66).  </w:t>
        <w:br/>
        <w:t xml:space="preserve">46. During the campaigns following that of 2010/2011, the union's bodies systematically validated and promoted the pricing recommendations developed for their members.  </w:t>
        <w:br/>
        <w:t xml:space="preserve">47. This approach is notably illustrated by the minutes of the Board of Directors of October 6, 2011, to which was attached a pricing grid recalling the proposed prices recommended during the previous campaign and indicating the new proposed prices applicable for the 2011/2012 campaign (references 2046 and 2848).  </w:t>
        <w:br/>
        <w:t xml:space="preserve">48. It appears from these minutes that, during this meeting, the Board of Directors invited winemakers to comply with the SGVRCDR pricing recommendations for the wine campaign in these terms: “the objective of a price increase of 5 € must be achieved. The start of the campaign for Vins de Pays as well as the establishment of a floor price of 95 € for entry-level products in Bordeaux reinforces the SGVRCDR in its optimism. A reminder of the price guidelines for the commercial negotiation of the 2011-2012 campaign is made (Annex 2). One single directive: remain firm and united as last year, the market segmentation positioning is in place, we must continue the mechanism.”  </w:t>
        <w:br/>
        <w:t xml:space="preserve">49. Other minutes of the Board of Directors and reports of bureau meetings of the Union attest to the continuation of this policy for the 2012/2013 and 2013/2014 campaigns (references 1382 and 2809, VNC 8216). However, from the 2014/2015 wine campaign until the 2016/2017 campaign, the pricing recommendations validated by the union bodies shifted from increases to a consolidation of CDR wine prices. The minutes of the SGVRCDR bureau meeting of August 26, 2014, indicate that “The members of the bureau present share the idea of a consolidation of prices for this campaign with a tiering of the union pricing proposals (entry-level, mid-range, and high-end)” (reference VNC 2785).  </w:t>
        <w:br/>
        <w:t xml:space="preserve">50. During their hearing on March 24, 2017, the representatives of the union confirmed that they had “formulated these price recommendations until now but with a different strategy: between 2010 and 2014, it was that of the best offer, we added 5 euros, and from 2014, we recommend stopping any increase and asking for price consolidation” (references VNC 4466 and 2836).  </w:t>
        <w:br/>
        <w:t xml:space="preserve">51. This policy of price stabilization also appears in the 2014 activity report of the union which, on the one hand, uses a more moderate tone to describe “the wishes” of its president that winemakers apply the pricing guidelines and, on the other hand, emphasizes a disengagement of the SGVRCDR on the themes of prices and commercial negotiation in favor of Inter Rhône and the Union of Rhône Houses (UMVR) (references 414 and 1175). For the 2015/2016 wine campaign, the SGVRCDR maintained its policy of price consolidation at 140 euros/hl.  </w:t>
        <w:br/>
        <w:t xml:space="preserve">3. THE CHANNELS FOR DISSEMINATING UNION PRICING RECOMMENDATIONS  </w:t>
        <w:br/>
        <w:t xml:space="preserve">52. In order to ensure a wide dissemination of pricing recommendation grids to their members, the union bodies approved a communication plan that provided for the publication of pricing grids in “Le Vigneron” (a), their electronic transmission (b), and the organization of “sector” meetings concerning them (c).  </w:t>
        <w:br/>
        <w:t xml:space="preserve">a) Publications in the magazine “Le Vigneron”  </w:t>
        <w:br/>
        <w:t xml:space="preserve">53. In accordance with the communication plan validated by the union bodies, the pricing guidelines specific to each wine campaign from 2010 to 2017 were relayed by “Le Vigneron,” a magazine published by the SGVRCDR.  </w:t>
        <w:br/>
        <w:t xml:space="preserve">54. As an example, the pricing recommendations related to the 2010/2011 campaign were published in “Le Vigneron” No. 761 of October 14, 2010, which was titled “Let’s Free the Prices - Marketing Côtes du Rhône in 2010 Target 110 euros/HL.”  </w:t>
        <w:br/>
        <w:t>55. The editorial of the magazine titled “The Battle is On!” specified, “This issue of the Vigneron des Côtes du Rhône contains, for the first time, a special section ‘Negotiations for the 2010 Vintage.’ This is the pricing recommendation put forward by the General Union of Winemakers of the Côtes du Rhône. The interprofessional organization indeed acknowledges a potential for strengthening prices (Inter Rhône issued a press release on the subject to all operators on October 8, 2010. We go further by displaying the minimum level to be achieved on some target products. We have no regulatory tool</w:t>
      </w:r>
    </w:p>
    <w:p>
      <w:r>
        <w:rPr>
          <w:b/>
        </w:rPr>
        <w:t>[Pages 13–15]</w:t>
      </w:r>
    </w:p>
    <w:p>
      <w:r>
        <w:t>for making this schedule mandatory, but if we, winemakers, cooperators, and independents, united as one, have the strength to follow it, we will regain part of the lost ground (...) we must rise each time, believe in it, hold on, and refer to these recommended prices. This schedule must become our pricing schedule for the 2010 vintage; (...) then we must have confidence: and believe that the rise in prices is for today and announce that a Côtes du Rhône 2010 is 15 euros more than a Côtes du Rhône 2009 and say it, and make it known, and repeat it and go earn it!" (references 46 and 2812).</w:t>
      </w:r>
    </w:p>
    <w:p>
      <w:r>
        <w:t>56. As for the article titled "Objective: 110 euros/hectolitre," it specified that the price recommendations "are not prohibited by the regulations concerning anti-competitive practices as long as 'the authors can justify that they have the effect of ensuring economic progress, (including through the creation or maintenance of jobs), and that they reserve for users a fair share of the resulting profit,'" (Article L. 420-4 of the Commercial Code). (...) Nothing obliges winemakers to adhere to these prices, but the more of them that apply them, the more likely prices are to rise (...) (references 47 and 2813).</w:t>
      </w:r>
    </w:p>
    <w:p>
      <w:r>
        <w:t>57. Issue number 761 of the magazine also included a table titled "Price Proposals for the 2010/2011 Campaign" (reference 2412). According to this table, the proposed price on October 14, 2010, for the CDR primeur was to be greater than or equal to 110 euros/hl, this amount being a "non-negotiable price," according to the comments accompanying this recommendation. Similarly, the proposed price for CDR red "entry-level" was to be greater than or equal to 90 euros/hl, with the "comments" regarding this price specifying that "selling for less than 90€/hl = death of the winemaker." Editorials and similar articles also relayed the union's pricing recommendations for the 2011/2012 (references 2180 to 2182), 2012/2013 (references 52 and 53), and 2013/2014 (references 55, 56, and 2176) campaigns.</w:t>
      </w:r>
    </w:p>
    <w:p>
      <w:r>
        <w:t>58. Starting from the 2014/2015 campaign, issues of the magazine "Le Vigneron" also echoed the recommendations on price consolidation approved by the union bodies.</w:t>
      </w:r>
    </w:p>
    <w:p>
      <w:r>
        <w:t>59. In this regard, an article titled "Consolidate Around 140€/hl" from magazine "Le Vigneron" No. 851 dated October 1, 2015, states that "For the president of the Côtes du Rhône union, there can be no other strategy at the beginning of the 2015/2016 campaign than the consolidation of prices." When asked by the magazine about the economic situation of the CDR appellation, the president of the SGVRCDR replied, "For me, the situation is excellent because it corresponds to the objectives we set five/six years ago. We have reached a level of balance on four fundamental points: production, stock, marketing, and prices."</w:t>
      </w:r>
    </w:p>
    <w:p>
      <w:r>
        <w:t>60. For the 2015/2016 and 2016/2017 campaigns, "Le Vigneron" again disseminated the pricing scales to producers (references 3902 and 3944).</w:t>
      </w:r>
    </w:p>
    <w:p>
      <w:r>
        <w:t>b) The newsletters</w:t>
      </w:r>
    </w:p>
    <w:p>
      <w:r>
        <w:t>61. During the union meetings concerning the wine campaigns from 2010/2011 to 2016/2017, it was also decided that the dissemination of pricing schedules would be ensured by sending each member an email containing a "newsletter."</w:t>
      </w:r>
    </w:p>
    <w:p>
      <w:r>
        <w:t>62. The SGVRCDR provided the Authority with a preparatory document for one of the transmission letters of the "newsletter," which transcribes its content (reference 2795): "We must hold firm and maintain pressure by keeping the same line of conduct: - Achieve 110 €/hl on average for the Côtes du Rhône red 2010, - Add 15 €/hl to the prices practiced in 2009/2010, - Sell nothing for less than 90 €/hl. Let us remain united and supportive, (...)" (reference 2834).</w:t>
      </w:r>
    </w:p>
    <w:p>
      <w:r>
        <w:t>63. During the following campaigns, similar letters were sent to union members to inform them of the existence of pricing schedules and to remind them of the importance of their application for the vineyard.</w:t>
      </w:r>
    </w:p>
    <w:p>
      <w:r>
        <w:t>c) Public meetings</w:t>
      </w:r>
    </w:p>
    <w:p>
      <w:r>
        <w:t>64. In the successive communication plans approved by the union bodies, the organization of so-called "sector" meetings appeared as one of the preferred means of disseminating the schedules (reference 2411).</w:t>
      </w:r>
    </w:p>
    <w:p>
      <w:r>
        <w:t>65. An article from magazine "Le Vigneron" No. 768 dated February 10, 2011, titled "Always Hold Firm and Keep the Faith," announced the holding of two sector meetings on February 21, 2011, in Sainte Cécile les Vignes and Saint Just d'Ardèche "to gather the opinions of winemakers and continue to motivate the troops" (reference 2409).</w:t>
      </w:r>
    </w:p>
    <w:p>
      <w:r>
        <w:t>66. Another article published in "Le Vigneron" No. 806 dated November 1, 2012, titled "Well-Attended Meetings," also mentioned the holding of these meetings and the topics that would be addressed, such as a comprehensive presentation of the economic situation of the CDR and CDR Villages appellations, followed by explanations on the pricing schedule proposed by the union for 2012/2013 (references 93 and 142, 2414).</w:t>
      </w:r>
    </w:p>
    <w:p>
      <w:r>
        <w:t>67. Such meetings were organized every year from 2010 to 2017.</w:t>
      </w:r>
    </w:p>
    <w:p>
      <w:r>
        <w:t>4. THE APPLICATION OF THE SGVRCDR PRICE RECOMMENDATIONS</w:t>
      </w:r>
    </w:p>
    <w:p>
      <w:r>
        <w:t>a) The application of the practice according to the union's own documents</w:t>
      </w:r>
    </w:p>
    <w:p>
      <w:r>
        <w:t>68. According to the annual reports of the union, the meeting minutes, and articles published in "Le Vigneron," the union's pricing recommendations would have been widely implemented by winemakers.</w:t>
      </w:r>
    </w:p>
    <w:p>
      <w:r>
        <w:t>69. For example, the activity report of the SGVRCDR for 2011 noted a "strong union mobilization to raise prices." The report indicated that "The result met expectations. Indeed, thanks to solidarity, the mobilization of all the cellars of the Côtes du Rhône, and a very good vintage, the objectives set by the SGVRCDR were achieved with a revaluation of the price per hectolitre of the regional Côtes du Rhône red by 15 euros. Thus, while one-third of the marketing of regional Côtes du Rhône (500,000 hl) was sold for less than 90 euros/hl in 2009, almost no sales were made for less than 90/95 euros/hl by the end of 2011" (references 104 and 1124).</w:t>
      </w:r>
    </w:p>
    <w:p>
      <w:r>
        <w:t>70. Similarly, the minutes of various union meetings commend the strong mobilization of winemakers regarding the implementation of pricing directives.</w:t>
      </w:r>
    </w:p>
    <w:p>
      <w:r>
        <w:t>71. During the SGVRCDR bureau meeting on February 1, 2011, the effectiveness of the union's recommendations on transaction prices and the need to communicate to sustain these positive effects were mentioned. According to the minutes, "Philippe PELLATON expressed satisfaction that no transaction below 90 euros had been recorded, marking a true resistance from producers on this desired floor price. Over the last fifteen days, strong transactions were noted, around 90-95 euros (...)" (emphasis added, reference VNC 8212).</w:t>
      </w:r>
    </w:p>
    <w:p>
      <w:r>
        <w:t>72. The minutes of the SGVRCDR Board of Directors meeting on June 17, 2011, also recorded the president's thanks to winemakers who adhered to the union's pricing guidelines in these terms: "Philippe PELLATON concluded this economic presentation by thanking the winemakers, the main artisans of this success, for having respected the pricing guidelines proposed by the SGVRCDR. This solidarity among the winemakers of the CDR has allowed for a significant strengthening of prices, which must continue" (emphasis added, reference 2040).</w:t>
      </w:r>
    </w:p>
    <w:p>
      <w:r>
        <w:t>73. Regarding the 2014/2015 wine campaign, the minutes of the ordinary general assembly on January 16, 2014, noted: "With a reference price of 130-135 euros for the Côtes du Rhône, 155-160 for the CDR Villages, and 185-190-195 for Villages with Geographical Name, the price pyramid is respected, and our AOC presents good visibility and confirmed valuation. Philippe PELLATON is satisfied with these figures and, for this clear strengthening of prices, thanks all the winemakers, cellars, and unions who played the game and followed the union's recommendations in a supportive manner" (emphasis added, references VNC 2996 and 8227).</w:t>
      </w:r>
    </w:p>
    <w:p>
      <w:r>
        <w:t>74. Finally, articles in the magazine "Le Vigneron" also report on the good results of the application of the pricing schedules. In this regard, an article dated February 10, 2011, titled "Always Hold Firm and Keep the Faith," which provided an initial assessment of the price revaluation action initiated by the SGVRCDR at the beginning of the campaign, states: "First observation, a 'concrete wall' has been established at 90 euros/hl, despite rumors circulating in the vineyard of sales at lower prices. 'Inter Rhône's records are clear: almost no entry-level transactions are made for less than 90 euros/hl.' The large bulk buyers have shifted to purchases at prices ranging from 90 to 95 euros/hl, hence very dynamic transactions currently" (emphasis added).</w:t>
      </w:r>
    </w:p>
    <w:p>
      <w:r>
        <w:t>b) The application of the practice according to other elements in the file</w:t>
      </w:r>
    </w:p>
    <w:p>
      <w:r>
        <w:t>75. Some statements nuance the role of the union's pricing recommendations in the undeniable recovery of CDR prices.</w:t>
      </w:r>
    </w:p>
    <w:p>
      <w:r>
        <w:t>76. Indeed, during his hearing on March 24, 2017, the president of the union stated that "given the diversity of prices in transactions, it is evident that each producer has been able to conduct their pricing policy completely autonomously. What we recommended has largely exceeded us. When we looked at prices since 2010, I do not think there is a relationship between the evolution of bulk prices since 2010 and our action. Even other appellations that did not implement recommendations have prices that are increasing. In 2014, prices were significantly higher than our recommendations" (emphasis added, references 3270 and VNC 4466).</w:t>
      </w:r>
    </w:p>
    <w:p>
      <w:r>
        <w:t>77. This viewpoint is shared by the merchants' union, which stated on March 29, 2017, that the union's pricing directives had not been followed: "Yes, I heard about it. It amused the trade, but some took it badly at first. It made the trade laugh, except for me, because what I appreciated about it was the principle of the three levels as it was educational and encouraged people to move upmarket. (...) Do you think we should have taken it more seriously? I tell you it had no effect; the producers of entry-level, even if they say there is this objective, the next hour they do not respect it." (emphasis added, reference 3421).</w:t>
      </w:r>
    </w:p>
    <w:p>
      <w:r>
        <w:rPr>
          <w:b/>
        </w:rPr>
        <w:t>[Pages 16–18]</w:t>
      </w:r>
    </w:p>
    <w:p>
      <w:r>
        <w:t xml:space="preserve">5. THE DURATION OF THE PRACTICE AND THE PARTICIPATION OF THE ENTITY CONCERNED  </w:t>
        <w:br/>
        <w:t xml:space="preserve">78. The practice took place continuously from the 2010/2011 wine campaign until the 2016/2017 wine campaign. It specifically began on October 12, 2010, with the development of price recommendations decided in a union bureau meeting, and on October 14, 2010, with the dissemination in magazine "Le Vigneron" No. 761 of these price guidelines for the 2010/2011 wine campaign, and has continued to this day, as confirmed by the statements of the president of the union recorded in his hearing report dated March 24, 2017 (reference VNC 4466).  </w:t>
        <w:br/>
        <w:t xml:space="preserve">79. A wine campaign starting on August 1 of year N and ending on July 31 of year N+1 allows us to consider that the disputed practice continued at least until July 31, 2017.  </w:t>
        <w:br/>
        <w:t xml:space="preserve">D. THE NOTIFIED GRIEVANCE  </w:t>
        <w:br/>
        <w:t xml:space="preserve">80. According to the notification of grievances:  </w:t>
        <w:br/>
        <w:t xml:space="preserve">"The General Union of Winemakers of the Côtes du Rhône, 6 Rue des 3 Faucons, 84000 Avignon, is accused of having implemented an agreement aimed at increasing and then consolidating the prices of bulk wines from the regional Côtes du Rhône and Côtes du Rhône villages by developing and disseminating to all its members continuously for the wine campaigns of 2010/2011, 2011/2012, 2012/2013, 2013/2014, 2014/2015, 2015/2016 to 2016/2017, that is, for the period from October 12, 2010, to July 31, 2017, price recommendations with a minimum price character and having encouraged them, notably through the supported and reiterated requests of its president, to comply with these guidelines, in the sector of marketing AOC bulk wines from the Côtes du Rhône.  </w:t>
        <w:br/>
        <w:t xml:space="preserve">This practice had the object and could have the effect of preventing, restricting, or distorting competition in the market for the trading of AOC bulk wines from the "Côtes du Rhône."  </w:t>
        <w:br/>
        <w:t>It is prohibited by Article L. 420-1 of the Commercial Code and Article 101 paragraph 1 of the TFEU."</w:t>
      </w:r>
    </w:p>
    <w:p>
      <w:r>
        <w:t xml:space="preserve">II. Discussion  </w:t>
        <w:br/>
        <w:t xml:space="preserve">A. APPLICABLE LAW  </w:t>
        <w:br/>
        <w:t xml:space="preserve">81. According to the case law of the Union and the European Commission's Communication providing guidelines on the concept of affecting trade as set out in Articles 101 and 102 of the TFEU, three elements must be met for practices to be likely to significantly affect trade between Member States: the existence of trade between Member States concerning the products or services in question, the existence of practices likely to affect these exchanges, and the significant nature of this effect.  </w:t>
        <w:br/>
        <w:t xml:space="preserve">82. In this case, the bulk AOC wines from the CDR affected by the practice of union tariff recommendations examined herein are sold throughout the French territory and in other Member States. Indeed, these bulk wines are also purchased by foreign traders, notably from Belgium and Switzerland (reference 3286). Furthermore, exportation is one of the main marketing channels for CDR wines. It represented 26% and 32% of AOC CDR wine sales between 2010 and 2015 (references 3454 and 3339) and particularly involved the United Kingdom, Belgium, the United States, Germany, and Scandinavian countries (references 3305 and 3379). Finally, it should be noted that the turnover of AOC CDR wines fluctuated between €1.47 billion and €1.54 billion between 2014 and 2016 (references 411 and 432).  </w:t>
        <w:br/>
        <w:t xml:space="preserve">83. Thus, the practices in question are likely to significantly affect trade between Member States. They will therefore be analyzed in light of both internal and Union competition rules. This point is not contested by the union.  </w:t>
        <w:br/>
        <w:t xml:space="preserve">B. THE RELEVANT MARKET  </w:t>
        <w:br/>
        <w:t xml:space="preserve">84. In the wine sector, national decision-making practice distinguishes several markets, upstream and downstream. It has thus identified, from the perspective of suppliers/producers, the markets for agricultural supplies for vineyards, the supply of grapes or finished wines, and the marketing of still and sparkling wines. From the perspective of buyers/distributors, the markets for the supply of still and sparkling wines and, finally, retail sales have been delineated (see in particular the Authority's decision No. 14-DCC-41 of March 24, 2014, regarding the joint acquisition of wine assets by Castel Frères and Domaines Listel, point 9).  </w:t>
        <w:br/>
        <w:t xml:space="preserve">85. Within still wines, several segmentations have been considered according to color (red, white, or rosé), according to category (protected designation of origin, "AOP"), protected geographical indication, "IGP", without geographical indication, ("SIG"), and according to commercial positioning (manufacturer brand, distributor brand, entry-level brand, and hard discount brand). A finer segmentation according to the type of designation has also been considered. The Authority has thus estimated that a segmentation of AOP wines based on geographical origin seems relevant and has suggested the possibility of distinguishing either between different regions grouping several AOPs perceived as interchangeable or between each designation (see in particular the Authority's decision 14-DCC-41 of March 24, 2014, points 13 and 17, and the decisions of the Commission of July 17, 2008, COMP/M.5114 – Pernod Ricard / V &amp; S and March 31, 2011, COMP/M.6149 Suntory/Castel GMdF/Savour Club/MAAF Subsidiaries).  </w:t>
        <w:br/>
        <w:t xml:space="preserve">86. It follows from the above that the competitive analysis can be conducted in this case on the market for the trading or marketing of AOC bulk wines from the Côtes du Rhône, linking producers, on the one hand, and traders, on the other.  </w:t>
        <w:br/>
        <w:t xml:space="preserve">87. The aforementioned national and European decision-making practice generally considers that the various markets for spirits and wines have a national geographical dimension due to the existence of consumption habits that differ from state to state.  </w:t>
        <w:br/>
        <w:t xml:space="preserve">88. In any case,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 (see in particular the judgment of the Court of the European Union of September 12, 2007, William Prym/Commission, T-30/05, Rec. p. II-107, point 86 and the decision of the Competition Authority No. 13-D-12 of May 28, 2013, regarding practices implemented in the sector of marketing chemical commodities, paragraphs 574 and 575).  </w:t>
        <w:br/>
        <w:t xml:space="preserve">C. ON THE PRACTICE IMPLEMENTED BY A PROFESSIONAL ORGANIZATION  </w:t>
        <w:br/>
        <w:t xml:space="preserve">1. REMINDER OF PRINCIPLES  </w:t>
        <w:br/>
        <w:t xml:space="preserve">On the nature of the agreement of a professional union's behavior  </w:t>
        <w:br/>
        <w:t xml:space="preserve">89. Articles 101, paragraph 1 of the TFEU and L. 420-1 of the Commercial Code prohibit agreements, concerted practices, and decisions of business associations that restrict competition resulting from agreements of will between autonomous entities.  </w:t>
        <w:br/>
        <w:t xml:space="preserve">90. Regarding the practices of collective organizations (unions, associations, professional orders, etc.), the Court of Cassation ruled in a landmark decision of May 16, 2000 (National Order of Pharmacists, 98-12612) that these organizations represent "the collective of [their] members and (...) [that] a practice likely to have an anti-competitive object or effect implemented by such an organization necessarily reveals an agreement, within the meaning of Article 7 of the ordinance of December 1, 1986, among its members."  </w:t>
        <w:br/>
        <w:t xml:space="preserve">91. The Competition Council, now the Authority, specified in its decision of November 28, 2007, regarding practices opposing the freedom of prices of services offered to health establishments during calls for tenders for anatomical-cytopathological examinations that "(...) an agreement may result from any act emanating from the bodies of a professional group, such as a professional regulation, an internal regulation, a scale, or a circular. Thus, the development and dissemination, at the initiative of a professional organization, of a document intended for all its members constitutes a concerted action."  </w:t>
        <w:br/>
        <w:t xml:space="preserve">92. It follows from the above that the decisions of collective organizations, although presented as unilateral acts, result from an agreement of will among their members and are, for this reason, likely to fall under the rules prohibiting agreements.  </w:t>
        <w:br/>
        <w:t>93. Thus, as the Authority recently recalled, "a trade union, when it goes beyond the mission of informing, advising, and defending the professional interests entrusted to it by law, by adopting behavior likely to directly or indirectly influence...</w:t>
      </w:r>
    </w:p>
    <w:p>
      <w:r>
        <w:rPr>
          <w:b/>
        </w:rPr>
        <w:t>[Pages 19–21]</w:t>
      </w:r>
    </w:p>
    <w:p>
      <w:r>
        <w:t xml:space="preserve">93. Thus, as the Authority recently recalled, "a trade union, when it steps outside the mission of information, advice, and defense of professional interests entrusted to it by law, by adopting behavior likely to directly or indirectly influence competition among its members, violates Article L. 420-1 of the Commercial Code" (see decision No. 16-D-20 of September 29, 2016, regarding practices implemented in the sector of services provided by modeling agencies, paragraph 235).  </w:t>
        <w:br/>
        <w:t xml:space="preserve">On the anti-competitive nature of the pricing recommendations made by a union  </w:t>
        <w:br/>
        <w:t xml:space="preserve">94. Agreements, concerted practices, and association decisions are prohibited by Articles 101, paragraph 1 TFEU, and L. 420-1 of the Commercial Code when their object or effect is to prevent, restrict, or distort competition in a market.  </w:t>
        <w:br/>
        <w:t xml:space="preserve">95. It follows from the wording of these provisions that the anti-competitive object and effect of a practice are alternative conditions for the implementation of the prohibition provided for therein.  </w:t>
        <w:br/>
        <w:t xml:space="preserve">96. In this context, the Court of Justice has specified that it is appropriate to examine, first, the very object of the agreement, and that it is only necessary to examine its effects if the analysis of the object of the agreement does not reveal a sufficient degree of harm to competition to characterize a prohibited agreement (see judgment of the Court of Justice of June 30, 1966, case 56-65, Société technique minière, L.T.M. et al., page 359 and judgment of the Court of Justice of March 14, 2013, case C-32/11, Allianz Hungaria Biztosito et al. v. Commission, paragraph 33).  </w:t>
        <w:br/>
        <w:t xml:space="preserve">97. In this regard, the Court of Justice has emphasized that "(...) certain types of coordination between companies reveal a sufficient degree of harm to competition such that it can be considered that the examination of their effects is not necessary (...)" (see in particular, judgment of the Court of Justice of September 11, 2014, case C-67/13, Groupement des cartes bancaires (CB) v. Commission, paragraphs 49 and 50). This is particularly the case for behaviors that lead to a horizontal price-fixing (see at the European level, judgment of the Court of Justice of September 11, 2014, cited above, paragraph 51). National case law is in the same vein (judgments of the Paris Court of Appeal of January 26, 2010, Adecco France, No. 2009/03532, p. 13 and of January 31, 2013, Pierre Fabre Dermo-Cosmétique, No. 2008/23812, p. 16).  </w:t>
        <w:br/>
        <w:t>98. Regarding practices consisting of the development and dissemination of pricing schedules by a professional association, the Authority, like the Council before it, considers that they have an anti-competitive object, notwithstanding the non-binding nature of the pricing guidelines provided, as they divert operators from a direct and personal understanding of their costs, thereby limiting the free play of competition (see in particular decision No. 12-D-02 of January 12, 2012, regarding practices implemented in the leisure, culture, and tourism engineering sector). These principles have notably been reiterated by the Paris Court of Appeal in its judgment of October 17, 2000, Syndicat national des ambulanciers de montagne No. 2000/05907 and in a judgment of January 29, 2008, Union française des orthoprothésistes No. 2007/04524.</w:t>
      </w:r>
    </w:p>
    <w:p>
      <w:r>
        <w:t xml:space="preserve">2. APPLICATION TO THE CASE AT HAND  </w:t>
        <w:br/>
        <w:t xml:space="preserve">The development of pricing guidelines by the governing bodies of the union  </w:t>
        <w:br/>
        <w:t xml:space="preserve">99. For each wine campaign since 2010, the governing bodies of the union (bureau, general assembly, and board of directors) have developed pricing recommendations intended for members (paragraphs 40 to 51).  </w:t>
        <w:br/>
        <w:t xml:space="preserve">100. Thus, during the 2010/2011 campaign, the minutes of the SGVRCDR bureau meeting of October 12, 2010, indicated that "the pricing recommendations grid is presented (copy attached) and accepted unanimously by the members of the Bureau." It also recorded the necessity to implement an action plan to disseminate its recommendations (reference VNC 3188). The file contains similar documents for each of the subsequent wine campaigns (references 56, 2808, 2848, 2876, VNC 4466).  </w:t>
        <w:br/>
        <w:t xml:space="preserve">The dissemination of pricing recommendations developed by the union  </w:t>
        <w:br/>
        <w:t xml:space="preserve">101. At each wine campaign, the minutes of the union meetings attest to the desire to widely disseminate the pricing recommendations developed within it. This dissemination has taken three following channels.  </w:t>
        <w:br/>
        <w:t xml:space="preserve">102. First, the union published its pricing recommendations in the magazine "Le Vigneron," of which it is the publisher (paragraphs 53 to 60). Thus, the pricing grid developed and approved by the union bureau for 2010 appeared in magazine "Le Vigneron" No. 762 of November 4, 2010, as evidenced by the various excerpts from articles contained in this issue and that of February 10, 2011, No. 768. The union grids have been the subject of identical publications for each wine campaign from 2010 to 2017 (references 53, 56, 391 and 2182 and 2876, 61, 2219 and 2836, 3902 and 3944).  </w:t>
        <w:br/>
        <w:t xml:space="preserve">103. In addition, the sending of "newsletters," or information letters, which included the pricing grids, has also been one of the vectors for disseminating the union recommendations to members (paragraphs 61 to 63).  </w:t>
        <w:br/>
        <w:t xml:space="preserve">104. Finally, the union pricing recommendations were transmitted to members during "sector" meetings organized in 2010, 2011, 2012, 2013, and 2015. These meetings, intended for all members, were an opportunity to address various themes, including the interest of referring to a pricing grid developed by the union during commercial negotiations (paragraphs 64 to 67).  </w:t>
        <w:br/>
        <w:t xml:space="preserve">105. It follows from the aforementioned decision-making practice that the development and dissemination by the SGVRCDR of pricing recommendations to its members for each wine campaign constitutes a concerted action within the meaning of Articles 101, paragraph 1, TFEU and L. 420-1 of the Commercial Code.  </w:t>
        <w:br/>
        <w:t xml:space="preserve">On the anti-competitive object of the practice  </w:t>
        <w:br/>
        <w:t xml:space="preserve">106. First, the recommendations sent by the union to its members for each wine campaign from 2010 to 2017 concerned minimum selling prices.  </w:t>
        <w:br/>
        <w:t xml:space="preserve">107. From 2010 until 2014, the pricing recommendations sent to members encouraged annual increases in minimum prices according to the color of the wines (white, rosé, red) and, for red wines, according to product ranges ("entry-level," "mid-range," and "high-end"). Thus, according to union recommendations, the entry-level Côtes du Rhône wines were not to be sold below 90 euros for the 2010/2011 wine campaign, 95 euros for the 2011/2012 campaign, 100 euros for the 2012/2013 campaign, 115 euros for 2013/2014, and 125 euros for the 2014/2015 campaign. From 2014/2015 until the 2016/2017 campaign, the union guidelines aimed at consolidating the minimum prices for entry-level wines at 125 euros, in order to stabilize prices.  </w:t>
        <w:br/>
        <w:t xml:space="preserve">108. Furthermore, the dissemination of these grids ensured by publications in the magazine "Le Vigneron," the organization of meetings, and the sending of newsletters to members has been systematically accompanied by a discourse encouraging winemakers to refer to these grids during commercial negotiations.  </w:t>
        <w:br/>
        <w:t xml:space="preserve">109. Thus, in each issue of the magazine disseminating the pricing grid applicable to the relevant wine campaign, there was also an interview with the president of the union or an article strongly encouraging winemakers to refer to the recommended prices. For example, an article published in this magazine on November 4, 2010, reminded that the watchword was to sell nothing "for less than 90 euros/hl" (see paragraph 57). From 2014 until 2017, the magazine disseminated union guidelines advocating the consolidation of prices in order to stabilize prices. In this regard, an article published in No. 840 of "Le Vigneron" on October 2, 2014, stated: "After having spent a lot of energy to raise prices, we now need to spend as much, if not more, to consolidate them at their current level" (references 61 and 2219, 3902 and 3944).  </w:t>
        <w:br/>
        <w:t xml:space="preserve">110. Finally, the prices thus recommended were unrelated to the direct understanding of the winemakers' costs and therefore decoupled from the economic reality of each operation.  </w:t>
        <w:br/>
        <w:t xml:space="preserve">111. Indeed, the union explains that it developed the pricing recommendations based on the management study of 2007, led by the interprofessional organization, titled "Rhône ambition," which set the threshold income for winemakers per hectare at €4,300 (paragraph 31 and reference 3459).  </w:t>
        <w:br/>
        <w:t xml:space="preserve">112. However, this study is not of a nature to legitimize the development and dissemination of general minimum pricing recommendations, as the production costs of each winemaker are necessarily different. Indeed, as indicated in the Administrative Investigation Report prepared by the Direccte PACA, "each operation has its own production costs based on specific analytical criteria, such as land (size of the vineyard in ha), provisions for replacing vines (the grape varieties must be uprooted and replanted every 25 years on average, with the first harvests on young vines being allowed from 3 years after planting), indebtedness (repayment of borrowed capital and interest), yields per ha within the limits of authorized ceilings and climatic hazards, the cost of treatment products, the cost of paid and/or family labor, the degree of mechanization of the operation, the expected operating result, and the costs of winemaking and storage (private cellars or cooperative cellars)" (reference 36).  </w:t>
        <w:br/>
        <w:t xml:space="preserve">113. It follows from the above that the practice of the SGVRCDR in developing and disseminating to its members, for each wine campaign, a general pricing grid aimed at increasing, and then consolidating, the price of bulk AOC wines from the CDR constitutes a practice whose object has an anti-competitive nature, as it has encouraged winemakers to turn away from a direct and personal understanding of their costs to increase or at least maintain minimum selling prices.  </w:t>
        <w:br/>
        <w:t xml:space="preserve">3. ON THE UNION'S ARGUMENTS IN FAVOR OF THE PRACTICE  </w:t>
        <w:br/>
        <w:t>114. The SGVRCDR has put forward several arguments to justify its practice.</w:t>
      </w:r>
    </w:p>
    <w:p>
      <w:r>
        <w:rPr>
          <w:b/>
        </w:rPr>
        <w:t>[Pages 22–24]</w:t>
      </w:r>
    </w:p>
    <w:p>
      <w:r>
        <w:t xml:space="preserve">115. Firstly, the SGVRCDR recalls the crisis faced by the sector in 2002 and its effects.  </w:t>
        <w:br/>
        <w:t xml:space="preserve">116. Nevertheless, while the Authority does not overlook the crisis context mentioned by the union, it should be noted that according to consistent case law, "it follows, […] neither from the terms of Article 85, paragraph 1, of the Treaty, nor from the case law, and even less from the preamble of the EC Treaty, […] that the existence of a crisis in the market would be of a nature to remove the anticompetitive character of price agreements" (Judgment of the Court of Justice of October 15, 2002, Case C-238/99, Limburgse Vinyl Maatschappij e.a. v. Commission, paragraph 57). In accordance with this principle, tariff recommendations adopted in the context of crisis sectors are regularly sanctioned (Decision of the Council No. 05-D-10 of March 15, 2005, regarding practices implemented in the cauliflower market of Brittany, Decision of the Council No. 07-D-16 of May 9, 2007, regarding practices in the markets for the collection and marketing of cereals, Decision of the Authority No. 12-D-08 of March 6, 2012, regarding practices implemented in the sector of production and marketing of endives).  </w:t>
        <w:br/>
        <w:t xml:space="preserve">117. Secondly, the union invokes certain recent or forthcoming legislative, regulatory, and case law developments in support of its practice.  </w:t>
        <w:br/>
        <w:t xml:space="preserve">118. Nevertheless, these references are ineffective, as it follows from the applicable texts and the opinion regarding the agricultural sector issued by the Authority on May 3, 2018, No. 18-A-04, that none of the exceptions to the competition rules concerning this sector are applicable in this case.  </w:t>
        <w:br/>
        <w:t xml:space="preserve">119. Firstly, while Articles 209 and 210 of Regulation No. 1308/2013 of December 17, 2013, establishing a common organization of agricultural markets ("CMO Regulation") provide for express exceptions to the application of Article 101, paragraph 1, of the TFEU concerning agreements, decisions, and practices of farmers, their associations, as well as interprofessional organizations, these do not target those that "involve an obligation to practice a determined price or under which competition is excluded" (see paragraphs 63 et seq. of the aforementioned opinion regarding the agricultural sector).  </w:t>
        <w:br/>
        <w:t xml:space="preserve">120. Furthermore, the derogation introduced by the omnibus European regulation (Regulation (EU) 2017/2393 of the European Parliament and of the Council of December 13, 2017) to Article 152 1.bis of the CMO Regulation would not apply in the present case. Indeed, this article allows only recognized producer organizations ("PO") or associations of recognized producer organizations ("APO"), concentrating the supply of their members and marketing their production, to negotiate common contractual conditions for all of their members' production. However, in this case, the sanctioned practice was implemented by a producers' union, which does not have the nature of a PO or an APO, and therefore does not have the same prerogatives as these organizations.  </w:t>
        <w:br/>
        <w:t xml:space="preserve">121. Similarly, the union incorrectly refers to the judgment of the Court of Justice of November 14, 2017 (Judgment of the Court of Justice of November 14, 2017, President of the Competition Authority/APVE and others, Case C 671/15, see also paragraphs 68 et seq. and 98 et seq. of the aforementioned opinion regarding the agricultural sector). Indeed, this judgment, which refers to provisions not applicable in this case, only provides for an exception to the application of competition rules for certain behaviors of POs or APOs recognized by a Member State. Therefore, the wrongful behavior of the union cannot benefit from this in any case.  </w:t>
        <w:br/>
        <w:t xml:space="preserve">122. Finally, any reference to the prerogatives recognized by the aforementioned regulations to interprofessional organizations ("IO") is irrelevant in light of the circumstances of the case. Indeed, as indicated in the aforementioned opinion, "recognized IOs may disseminate indicators and indices, either from public bodies or developed by them, provided that past, aggregated data is used, and if their construction guarantees the anonymity of the data and companies. IOs may also take up the new objective assigned to them by the Omnibus Regulation consisting of disseminating standard clauses for value distribution, combining one or more indicators or indices, subject to compliance with the recommendations of the Authority issued in the context of this opinion." The opinion further specifies that while IOs are "free to conduct prospective economic analyses and market studies, they cannot implement measures for regulating volumes or controlling promotions or any form of recommended or imposed prices" (see paragraphs 235 and 236 of the aforementioned opinion regarding the agricultural sector). Therefore, the union could not legitimately rely on the studies conducted by the Interprofessional Organization in 2007 and 2013 to establish minimum price recommendations for producers.  </w:t>
        <w:br/>
        <w:t xml:space="preserve">123. It follows from the above that the arguments related to the exceptions to the application of competition rules in the agricultural sector provided for by the texts and case law must be dismissed.  </w:t>
        <w:br/>
        <w:t xml:space="preserve">124. Thirdly, the union argues that the effect of the practices on the price of bulk AOC CDR wines is not established, as other factors may explain the price increase observed during the infringement period.  </w:t>
        <w:br/>
        <w:t xml:space="preserve">125. In this regard, as previously indicated, national and European decision-making practices and case law remind us that the object and anticompetitive effect of a practice are alternative conditions for assessing its validity in light of Articles 101 of the TFEU and L. 420-1 of the Commercial Code. Since the anticompetitive object of the practices has been demonstrated in this case, the Authority is not required to additionally characterize their effects. However, these will be examined in terms of damage to the economy.  </w:t>
        <w:br/>
        <w:t xml:space="preserve">4. ON THE DURATION OF THE PRACTICE  </w:t>
        <w:br/>
        <w:t xml:space="preserve">126. According to consistent European case law, in the case of a continuous practice, the duration of an infringement of competition rules is determined by the period elapsed between the date of the conclusion of the agreement and the date on which it was terminated.  </w:t>
        <w:br/>
        <w:t xml:space="preserve">127. National courts indicate that a practice has "… a continuous character when the wrongful state extends over time through constant reiteration or by the persistence of the anticompetitive intent after the initial act without a material act necessarily having to renew it over time" (Judgment of the Court of Cassation of March 15, 2011, No. 09-17.055).  </w:t>
        <w:br/>
        <w:t xml:space="preserve">128. In this case, the disputed practice began when the SGVRCDR office met to decide on the development and dissemination of price recommendations for winemakers for the 2010/2011 wine campaign, namely on October 12, 2010. During their hearing, the representatives of the union indicated that the development and dissemination of these scales had continued until "now," that is to say during the 2016/2017 wine campaign, which ended on July 31, 2017 (reference VNC 4466). Between these two dates, the continuous nature of the practice is established by the development and dissemination of price recommendations for each wine campaign from 2010 to 2017.  </w:t>
        <w:br/>
        <w:t>129. The practice was therefore implemented from October 12, 2010, to July 31, 2017, a period of 6 years and 9 months.</w:t>
      </w:r>
    </w:p>
    <w:p>
      <w:r>
        <w:t xml:space="preserve">III. Sanctions  </w:t>
        <w:br/>
        <w:t xml:space="preserve">A. ON THE FINANCIAL SANCTION  </w:t>
        <w:br/>
        <w:t xml:space="preserve">1. THE APPLICABLE RULES  </w:t>
        <w:br/>
        <w:t xml:space="preserve">130. Under I of Article L. 464-2 of the Commercial Code, the Authority may impose a financial sanction on companies and organizations engaging in anticompetitive practices prohibited by Articles 101 TFEU and L. 420-1 of the aforementioned code.  </w:t>
        <w:br/>
        <w:t xml:space="preserve">131. Furthermore, the third paragraph of I of Article L. 464-2 of the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motivated for each sanction."  </w:t>
        <w:br/>
        <w:t xml:space="preserve">132. According to the fourth paragraph of I of Article L. 464-2 of the same code, "[if] the offender is not a company, the maximum amount of the sanction is 3 million euros."  </w:t>
        <w:br/>
        <w:t xml:space="preserve">133. The Authority generally assesses the legal criteria recalled above according to the modalities described in its press release of May 16, 2011, regarding the method of determining financial sanctions ("sanctions press release"), "unless it explains, in the motivation of its decision, the particular circumstances or reasons of general interest leading it to deviate from this in a given case" (paragraph 7 of the sanctions press release).  </w:t>
        <w:br/>
        <w:t xml:space="preserve">2. APPLICATION IN THIS CASE  </w:t>
        <w:br/>
        <w:t xml:space="preserve">134. The Authority's decision-making practice regarding organizations (unions, associations, etc.) distinguishes between those that pursue their own economic activity in the relevant markets, on the one hand, and those that merely represent the interests of their active members in the relevant markets and therefore do not have a turnover or sales value related to the product or service concerned by the practices, on the other hand.  </w:t>
        <w:br/>
        <w:t xml:space="preserve">135. In the latter case, the Authority considers that "its financial sanction must be determined according to modalities specific to the case at hand (paragraph 7 of the sanctions press release)" (see in particular paragraph 463 of Decision No. 16-D-20 of September 29, 2016, regarding practices implemented in the sector of services provided by modeling agencies, confirmed by the judgment of the Court of Appeal of July 6, 2017, Smith &amp; Smith Characters, No. 2016/22365). Indeed, the absence of sales value of the organization constitutes one of the "particular circumstances" provided for in paragraph 7 of the aforementioned sanctions press release referenced in paragraph 133.  </w:t>
        <w:br/>
        <w:t>136. In this case, as a professional union responsible for representing and defending the interests of its members, the SGVRCDR does not itself have a turnover related to the production or marketing of AOC wines from the Côtes du Rhône.</w:t>
      </w:r>
    </w:p>
    <w:p>
      <w:r>
        <w:rPr>
          <w:b/>
        </w:rPr>
        <w:t>[Pages 25–27]</w:t>
      </w:r>
    </w:p>
    <w:p>
      <w:r>
        <w:t>magazine "Le Vigneron", des newsletters et des réunions de secteur, a constitué une pratique</w:t>
        <w:br/>
        <w:t>d'entente entre concurrents sur les prix futurs, ce qui est considéré comme une infraction grave</w:t>
        <w:br/>
        <w:t>au droit de la concurrence.</w:t>
      </w:r>
    </w:p>
    <w:p>
      <w:r>
        <w:t>162. Cette publication et communication doivent être effectuées dans un délai de trois mois à</w:t>
        <w:br/>
        <w:t>compter de la notification de la présente décision.</w:t>
      </w:r>
    </w:p>
    <w:p>
      <w:r>
        <w:t>163. En cas de non-respect de cette injonction, une astreinte de 1 000 euros par jour de retard</w:t>
        <w:br/>
        <w:t>sera appliquée.</w:t>
      </w:r>
    </w:p>
    <w:p>
      <w:r>
        <w:rPr>
          <w:b/>
        </w:rPr>
        <w:t>[Pages 28–29]</w:t>
      </w:r>
    </w:p>
    <w:p>
      <w:r>
        <w:t xml:space="preserve">minimum price schedules related to bulk AOC wines from the Côtes du Rhône according to their color (white, rosé, red) and, for red wines, according to product ranges ("entry-level", "mid-range", and "high-end"). The dissemination of these schedules, ensured by publications in the magazine "Le Vigneron", the organization of "sector" meetings, and the sending of newsletters transmitted to all members, was systematically accompanied by a discourse encouraging winemakers to refer to these schedules during commercial negotiations.  </w:t>
        <w:br/>
        <w:t xml:space="preserve">However, the condemned union, which does not have the nature or functions of a producers' organization ("OP") or an association of producers' organizations ("AOP") for marketing, cannot benefit from the exemption introduced by the European Omnibus Regulation to Article 152 1 bis of the OCM Regulation. Indeed, this allows only recognized OPs and AOPs that concentrate the supply of their members and market their production to negotiate common contractual terms for the entire production of their members.  </w:t>
        <w:br/>
        <w:t xml:space="preserve">While a professional union can disseminate information intended to assist its members in managing their business, the assistance provided must not exert direct or indirect influence on the free play of competition within the profession, in any way whatsoever: in particular, the indications given must not have the purpose or effect of diverting businesses from a direct understanding of their own costs that allows them to individually determine their selling price.  </w:t>
        <w:br/>
        <w:t xml:space="preserve">Thus, by developing and disseminating general minimum price guidelines, the SGVRCDR has encouraged its members to turn away from a direct understanding of their commercial strategy that would allow them to set their prices independently and has distorted negotiations with customers.  </w:t>
        <w:br/>
        <w:t>Through its behavior, the SGVRCDR has therefore harmed the functioning of competition in this sector.</w:t>
      </w:r>
    </w:p>
    <w:p>
      <w:r>
        <w:t xml:space="preserve">DECISION  </w:t>
        <w:br/>
        <w:t xml:space="preserve">Article 1: It is established that the General Union of Winemakers of the Côtes du Rhône (SGVRCDR) has violated the provisions of Articles 101 TFEU and L. 420-1 of the Commercial Code by implementing, between October 12, 2010, and July 31, 2017, an agreement consisting of the development and dissemination of pricing recommendations that have a minimum price character in the sector of marketing bulk AOC wines from the Côtes du Rhône.  </w:t>
        <w:br/>
        <w:t xml:space="preserve">Article 2: A monetary sanction of 20,000 euros shall be imposed on the SGVRCDR for the practice referred to in Article 1.  </w:t>
        <w:br/>
        <w:t xml:space="preserve">Article 3: The SGVRCDR shall publish the text appearing in paragraph 166 of this decision, respecting the formatting, in the edition of the magazine "Le Vigneron". This publication shall occur in a box in black characters on a white background with a height of at least three millimeters under the following title, in bold characters of the same size: "Decision of the Competition Authority No. 18-D-06 of May 23, 2018, regarding practices implemented in the sector of marketing bulk AOC wines from the Côtes du Rhône." It may be followed by a mention that the decision has been appealed to the Court of Appeal of Paris if such an appeal is filed. The SGVRCDR shall send, by registered mail, to the procedure office, a copy of this publication, upon its release and no later than July 23, 2018.  </w:t>
        <w:br/>
        <w:t xml:space="preserve">Article 4: The SGVRCDR shall send the text appearing in paragraph 161 of this decision to its members via a special edition of the newsletter according to a distribution list identical to that used to disseminate the sanctioned pricing guidelines. This message shall be titled: "Decision of the Competition Authority No. 18-D-06 of May 23, 2018, regarding practices implemented in the sector of marketing bulk AOC wines from the Côtes du Rhône" and shall include the summary in the body text, which may be followed by a mention that the decision has been appealed to the Court of Appeal of Paris if such an appeal is filed. The SGVRCDR shall send, by registered mail, to the procedure office, a copy of the mailing no later than July 23, 2018.  </w:t>
        <w:br/>
        <w:t xml:space="preserve">Deliberated following the instruction of Ms. Anne-Sophie Rainero, on the oral report of Mr. Joël Tozzi, Deputy General Rapporteur, by Ms. Élisabeth Flüry-Hérard, Vice-President, Chair of the session, Ms. Pierrette Pinot, Ms. Sandra Lagumina, Ms. Séverine Larere, Mr. Noël Diricq, and Mr. Philippe Choné, members.  </w:t>
        <w:br/>
        <w:t xml:space="preserve">The session secretary, The session chair,  </w:t>
        <w:br/>
        <w:t xml:space="preserve">Caroline Orsel Élisabeth Flüry-Herard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