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https://www.autoritedelaconcurrence.fr/fr/decision/relative-des-pratiques-mises-en-oeuvre-dans-le-secteur-de-la-commercialisation-des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COMPETITION COUNCIL  </w:t>
        <w:br/>
        <w:t xml:space="preserve">Decision No. 01-D-06 of March 27, 2001  </w:t>
        <w:br/>
        <w:t xml:space="preserve">concerning practices implemented in the sector  </w:t>
        <w:br/>
        <w:t xml:space="preserve">of industrial battery marketing  </w:t>
        <w:br/>
        <w:t xml:space="preserve">The Competition Council (section I),  </w:t>
        <w:br/>
        <w:t xml:space="preserve">Having regard to the letter registered on March 3, 1999, under number F 1129, by which the Minister of Economy, Finance, and Industry referred to the Competition Council practices that would be implemented in the sector of industrial battery marketing;  </w:t>
        <w:br/>
        <w:t xml:space="preserve">Having regard to Book IV of the Commercial Code and Decree No. 86-1309 of December 29, 1986, as amended, adopted for the application of Ordinance No. 86-1243 of December 1, 1986;  </w:t>
        <w:br/>
        <w:t xml:space="preserve">Having regard to the observations presented by the Government Commissioner;  </w:t>
        <w:br/>
        <w:t xml:space="preserve">Having regard to the other documents in the file;  </w:t>
        <w:br/>
        <w:t xml:space="preserve">The rapporteur, the deputy general rapporteur, the Government Commissioner heard during the session of January 30, 2001;  </w:t>
        <w:br/>
        <w:t xml:space="preserve">Considering that the elements collected in the current state of the file do not allow the Council to be fully informed about the practices denounced; that, under these conditions, it is necessary to proceed with a supplementary investigation,  </w:t>
        <w:br/>
        <w:t xml:space="preserve">Decides  </w:t>
        <w:br/>
        <w:t xml:space="preserve">Sole Article: the decision on referral F 1129 is suspended.  </w:t>
        <w:br/>
        <w:t xml:space="preserve">Deliberated, on the oral report of Ms. Nguyen-Nied, by Mr. Cortesse, Vice-President, presiding over the session,  </w:t>
        <w:br/>
        <w:t xml:space="preserve">Ms. Perrot and Mr. Mader-Saussaye, Mr. Bidaud, Mr. Lasserre, and Mr. Piot, members.  </w:t>
        <w:br/>
        <w:t xml:space="preserve">The session secretary, The Vice-President,  </w:t>
        <w:br/>
        <w:t xml:space="preserve">presiding over the session,  </w:t>
        <w:br/>
        <w:t xml:space="preserve">Patricia Perrin Pierre Cortesse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