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https://www.autoritedelaconcurrence.fr/fr/decision/relative-des-pratiques-mises-en-oeuvre-dans-le-secteur-de-la-diffusion-par-voie</w:t>
      </w:r>
    </w:p>
    <w:p>
      <w:r>
        <w:t>Pages translated : 34</w:t>
      </w:r>
    </w:p>
    <w:p/>
    <w:p>
      <w:r>
        <w:rPr>
          <w:b/>
        </w:rPr>
        <w:t>[Pages 1–3]</w:t>
      </w:r>
    </w:p>
    <w:p>
      <w:r>
        <w:t xml:space="preserve">FRENCH REPUBLIC  </w:t>
        <w:br/>
        <w:t xml:space="preserve">Decision No. 13-D-23 of December 30, 2013  </w:t>
        <w:br/>
        <w:t xml:space="preserve">regarding practices implemented in the sector of electronic dissemination  </w:t>
        <w:br/>
        <w:t xml:space="preserve">of economic and legal information on companies  </w:t>
        <w:br/>
        <w:t xml:space="preserve">The Competition Authority (section II),  </w:t>
        <w:br/>
        <w:t xml:space="preserve">Considering the referral registered on March 5, 2008 under number 08/0027 F, by which the company Centre d’Affaires Mercure referred to the Competition Council practices implemented by the economic interest group INFOGREFFE in the sector of online dematerialization of business creation formalities;  </w:t>
        <w:br/>
        <w:t xml:space="preserve">Considering the referral registered on March 21, 2008 under number 08/0031 F, by which the companies Coface-Services and Altares-D&amp;B Holding referred to the Competition Council practices implemented by the registrars and the economic interest group INFOGREFFE in the sector of electronic dissemination of economic and legal information on companies;  </w:t>
        <w:br/>
        <w:t xml:space="preserve">Considering the decision of the general rapporteur dated July 9, 2008 taken pursuant to Article R. 463-3 of the Commercial Code, and proceeding to the joining of cases 08/0027 F and 08/0031 F;  </w:t>
        <w:br/>
        <w:t xml:space="preserve">Considering the additional observations of the companies Coface-Services and Altares-D&amp;B Holding dated July 29, 2009 concerning the reorganization of the National Register of Commerce and Companies;  </w:t>
        <w:br/>
        <w:t xml:space="preserve">Considering decision No. 11-SO-03 dated February 10, 2011 registered under number 11/0019 F, by which the Competition Authority initiated an ex officio inquiry into practices implemented in the sector of electronic dissemination of economic and legal information on companies;  </w:t>
        <w:br/>
        <w:t xml:space="preserve">Considering the decision of the deputy general rapporteur dated February 14, 2011 taken pursuant to Article R. 463-3 of the Commercial Code, and proceeding to the joining of cases 08/0027 F, 08/0031 F, and 11/0019 F;  </w:t>
        <w:br/>
        <w:t xml:space="preserve">Considering Book IV of the Commercial Code;  </w:t>
        <w:br/>
        <w:t xml:space="preserve">Considering the decisions related to the protection of business secrets No. 08-DSA-94 of July 4, 2008; No. 10-DSA-55, No. 10-DSA-56, No. 10-DSA-57, No. 10-DSA-58, No. 10-DSA-59, No. 10-DSA-60, No. 10-DSA-61, and No. 10-DSA-62 of March 10, 2010; No. 10-DSA-67 of March 23, 2010; No. 10-DSA-77 of April 26, 2010; No. 11-DSA-115 of May 2, 2011; No. 12-DSA-120 of March 13, 2012;  </w:t>
        <w:br/>
        <w:t>Considering the decisions of declassification No. 11-DEC-18 of May 2, 2011; No. 11-DECR-10 of June 1, 2011; No. 11-DEC-53 of November 25, 2011; No. 12-DECR-08 of April 13, 2012;</w:t>
      </w:r>
    </w:p>
    <w:p>
      <w:r>
        <w:t xml:space="preserve">Considering the observations presented by the economic interest group INFOGREFFE, by the National Institute of Industrial Property (INPI), by the company Centre d’Affaires Mercure, jointly by the companies Coface-Services and Altares-D&amp;B Holding, by the Ministry of Justice, and by the Government Commissioner;  </w:t>
        <w:br/>
        <w:t xml:space="preserve">Considering the note in deliberation presented by the companies Coface-Services and Altares-D&amp;B Holding on September 19, 2013;  </w:t>
        <w:br/>
        <w:t xml:space="preserve">Considering the other documents in the file;  </w:t>
        <w:br/>
        <w:t xml:space="preserve">The rapporteur, the general rapporteur, the Government Commissioner, the representatives of the GIE INFOGREFFE, of the INPI, and of the companies Coface-Services and Altares-D&amp;B Holding, heard during the session of the Competition Authority on July 25, 2013;  </w:t>
        <w:br/>
        <w:t xml:space="preserve">The representatives of the company Société SAS heard on the basis of the provisions of Article L. 463-7, second paragraph, of the Commercial Code;  </w:t>
        <w:br/>
        <w:t xml:space="preserve">Adopts the following decision:  </w:t>
        <w:br/>
        <w:t>2</w:t>
      </w:r>
    </w:p>
    <w:p>
      <w:r>
        <w:t xml:space="preserve">SUMMARY  </w:t>
        <w:br/>
        <w:t xml:space="preserve">I. Findings .......................................................................................... 5  </w:t>
        <w:br/>
        <w:t xml:space="preserve">A. THE REFERRALS .................................................................................................................................. 5  </w:t>
        <w:br/>
        <w:t xml:space="preserve">B. THE SECTOR OF ACTIVITY ........................................................................................................... 6  </w:t>
        <w:br/>
        <w:t xml:space="preserve">1. THE LEGAL ADVERTISING REGISTERS ....................................................................................... 6  </w:t>
        <w:br/>
        <w:t xml:space="preserve">a) The commercial and companies register (hereinafter "RCS")................................... 6  </w:t>
        <w:br/>
        <w:t xml:space="preserve">b) The national register of commerce and companies (hereinafter "RNCS") ................ 7  </w:t>
        <w:br/>
        <w:t xml:space="preserve">c) The other legal advertising registers ..................................................................... 8  </w:t>
        <w:br/>
        <w:t xml:space="preserve">2. THE REGISTRARS OF COMMERCIAL COURTS ....................................................................... 8  </w:t>
        <w:br/>
        <w:t xml:space="preserve">a) General status and organization ................................................................................... 8  </w:t>
        <w:br/>
        <w:t xml:space="preserve">b) Attributions ................................................................................................................ 9  </w:t>
        <w:br/>
        <w:t xml:space="preserve">c) Conditions of remuneration .................................................................................... 10  </w:t>
        <w:br/>
        <w:t xml:space="preserve">C. THE PARTIES INVOLVED .................................................................................................... 11  </w:t>
        <w:br/>
        <w:t xml:space="preserve">1. THE GIE INFOGREFFE .................................................................................................................. 11  </w:t>
        <w:br/>
        <w:t xml:space="preserve">a) Operation .................................................................................................................. 11  </w:t>
        <w:br/>
        <w:t xml:space="preserve">b) Attributions .............................................................................................................. 12  </w:t>
        <w:br/>
        <w:t xml:space="preserve">c) Revenue ...................................................................................................................... 12  </w:t>
        <w:br/>
        <w:t xml:space="preserve">2. THE NATIONAL INSTITUTE OF INDUSTRIAL PROPERTY ....................................................... 13  </w:t>
        <w:br/>
        <w:t xml:space="preserve">a) Status and organization ............................................................................................... 13  </w:t>
        <w:br/>
        <w:t xml:space="preserve">b) Attributions .............................................................................................................. 13  </w:t>
        <w:br/>
        <w:t xml:space="preserve">c) Resources ................................................................................................................. 14  </w:t>
        <w:br/>
        <w:t xml:space="preserve">3. THE REFERRING COMPANIES ............................................................................................... 14  </w:t>
        <w:br/>
        <w:t xml:space="preserve">a) Centre d’affaires Mercure ....................................................................................... 14  </w:t>
        <w:br/>
        <w:t xml:space="preserve">b) Coface-services and Altares-D&amp;B Holding ............................................................... 15  </w:t>
        <w:br/>
        <w:t xml:space="preserve">D. THE PRACTICES REPORTED ................................................................................................. 15  </w:t>
        <w:br/>
        <w:t xml:space="preserve">1. LEGAL FRAMEWORK ...................................................................................................................... 15  </w:t>
        <w:br/>
        <w:t xml:space="preserve">2. THE OFFERS FOR ELECTRONIC DISSEMINATION OF INFORMATION FROM THE  </w:t>
        <w:br/>
        <w:t xml:space="preserve">LEGAL ADVERTISING REGISTERS ................................................................................................ 16  </w:t>
        <w:br/>
        <w:t xml:space="preserve">a) The offer from Infogreffe .......................................................................................... 16  </w:t>
        <w:br/>
        <w:t xml:space="preserve">b) The offer from the INPI ............................................................................................ 18  </w:t>
        <w:br/>
        <w:t xml:space="preserve">c) The offer from professional intermediaries .............................................................. 20  </w:t>
        <w:br/>
        <w:t xml:space="preserve">3. THE AGREEMENT BETWEEN INFOGREFFE AND THE INPI .................................................. 22  </w:t>
        <w:br/>
        <w:t xml:space="preserve">a) Objectives of the agreement ...................................................................................... 22  </w:t>
        <w:br/>
        <w:t xml:space="preserve">b) Content of the agreement .......................................................................................... 22  </w:t>
        <w:br/>
        <w:t>3</w:t>
      </w:r>
    </w:p>
    <w:p>
      <w:r>
        <w:rPr>
          <w:b/>
        </w:rPr>
        <w:t>[Pages 4–6]</w:t>
      </w:r>
    </w:p>
    <w:p>
      <w:r>
        <w:t xml:space="preserve">c) Consequences of the agreement .................................................................................. 24  </w:t>
        <w:br/>
        <w:t xml:space="preserve">E. THE NOTIFIED GRIEVANCES .......................................................................................... 25  </w:t>
        <w:br/>
        <w:t xml:space="preserve">II. Discussion ................................................................................................... 26  </w:t>
        <w:br/>
        <w:t xml:space="preserve">A. ON THE NOTIFIED GRIEVANCES .................................................................................. 26  </w:t>
        <w:br/>
        <w:t xml:space="preserve">1. ON THE FIRST GRIEVANCE ............................................................................................ 27  </w:t>
        <w:br/>
        <w:t xml:space="preserve">a) Arguments of the parties ............................................................................................ 27  </w:t>
        <w:br/>
        <w:t xml:space="preserve">b) Assessment by the Authority .................................................................................... 27  </w:t>
        <w:br/>
        <w:t xml:space="preserve">2. ON THE SECOND GRIEVANCE ......................................................................................... 29  </w:t>
        <w:br/>
        <w:t xml:space="preserve">a) On Infogreffe's entry into the INPI Licensing Committee ........................................ 29  </w:t>
        <w:br/>
        <w:t xml:space="preserve">Arguments of the parties ............................................................................................ 29  </w:t>
        <w:br/>
        <w:t xml:space="preserve">Assessment by the Authority .................................................................................... 30  </w:t>
        <w:br/>
        <w:t xml:space="preserve">b) On the consequences of the substitution of the "WCS" contracts for the "CSP" licenses .......................................................................................................................... 30  </w:t>
        <w:br/>
        <w:t xml:space="preserve">Arguments of the parties ............................................................................................ 31  </w:t>
        <w:br/>
        <w:t xml:space="preserve">Assessment by the Authority .................................................................................... 31  </w:t>
        <w:br/>
        <w:t xml:space="preserve">B. ON THE OTHER PRACTICES REPORTED .................................................................... 32  </w:t>
        <w:br/>
        <w:t xml:space="preserve">1. ON THE ACCESS DIFFICULTIES OF MERCURE TO THE INFOGREFFE SERVER FOR ONLINE REGISTRATIONS .......................................................................................... 32  </w:t>
        <w:br/>
        <w:t xml:space="preserve">2. ON THE PRACTICES ALLEGED BY COFACE AND ALTARES ........................................ 33  </w:t>
        <w:br/>
        <w:t xml:space="preserve">I. Findings  </w:t>
        <w:br/>
        <w:t xml:space="preserve">1. The following will be addressed successively:  </w:t>
        <w:br/>
        <w:t xml:space="preserve">- the referrals (A);  </w:t>
        <w:br/>
        <w:t xml:space="preserve">- the sector of activity (B);  </w:t>
        <w:br/>
        <w:t xml:space="preserve">- the concerned parties (C);  </w:t>
        <w:br/>
        <w:t xml:space="preserve">- the reported practices (D);  </w:t>
        <w:br/>
        <w:t xml:space="preserve">- the notified grievances (E).  </w:t>
        <w:br/>
        <w:t xml:space="preserve">A. THE REFERRALS  </w:t>
        <w:br/>
        <w:t xml:space="preserve">2. On March 5, 2008, the company Mercure (hereinafter "Mercure") referred to the Competition Council, which became, on March 2, 2009, the Competition Authority (hereinafter "the Authority"), a complaint regarding the existence of practices implemented by the GIE Infogreffe (hereinafter "Infogreffe"), which would constitute an abuse of a dominant position and an abusive exploitation of its state of economic dependence, preventing it from offering its clients, for the registration formalities of companies, the advantages of dematerialization proposed by Infogreffe.  </w:t>
        <w:br/>
        <w:t xml:space="preserve">3. On March 21, 2008, the companies Coface-Services (hereinafter "Coface") and Altares-D&amp;B Holding (hereinafter "Altares") reported the existence of an agreement among the registrars of the commercial courts (hereinafter "the registrars") resulting in the creation of Infogreffe to which they would have transferred their missions of collecting data recorded in the legal publicity registers and disseminating copies, extracts, and information. According to the complaint, Infogreffe would have access to this information for free and in real time, as well as exclusive access to information that the complainants consider to be an essential resource, without being required to obtain a license, unlike them (page 41).  </w:t>
        <w:br/>
        <w:t xml:space="preserve">4. Furthermore, Coface and Altares argued that this agreement among the registrars allows Infogreffe to abuse its position as the exclusive supplier in an upstream market for the wholesale supply of legal information by favoring its offer in a downstream market. They report a refusal of direct access to the public information of the registers (page 44), forcing them to turn to the National Institute of Industrial Property (hereinafter "INPI") for the issuance of a license; the existence of indirect barriers resulting from the lower quality of information obtained from the INPI due to the slowness of the transfer of data from the registrars to it; and finally, an Infogreffe pricing policy characterized by excessive prices, the latter applying a regulatory pricing schedule provided for the activity carried out within the framework of the legal monopoly of the registrars, even though it would have pricing freedom for an activity outside the monopoly (page 46).  </w:t>
        <w:br/>
        <w:t xml:space="preserve">5. Thus, the referring companies, which operate in the market for the electronic dissemination of economic and legal information on companies, consider themselves victims of anti-competitive practices implemented by Infogreffe, which would only guarantee partial and late access to the information exclusively held by the registrars and would charge prices higher than those resulting from free competition.  </w:t>
        <w:br/>
        <w:t xml:space="preserve">6. The initial referrals, joined by decision on July 9, 2008, were subsequently supplemented by additional observations submitted by the companies Coface and Altares on July 29, 2009 (pages 591 to 606), bringing to the attention of the investigation services the conclusion of an agreement entered into between the INPI and Infogreffe on April 3, 2009, concerning the rationalization of the system for the production and dissemination of legal information on companies. The Authority proceeded, by decision on February 10, 2011, to initiate an ex officio referral covering the facts and practices reported by these additional observations.  </w:t>
        <w:br/>
        <w:t xml:space="preserve">B. THE SECTOR OF ACTIVITY  </w:t>
        <w:br/>
        <w:t xml:space="preserve">7. The sector of activity concerned by this case is that of the electronic dissemination of legal information on the life of companies. The Competition Council, in opinion No. 99-A-08 of April 28, 1999, noted the importance of electronic information service activities on economic life, particularly using information from legal publicity registers as sources.  </w:t>
        <w:br/>
        <w:t xml:space="preserve">8. Indeed, professional intermediaries, such as the referring parties, process information from legal publicity registers by adding value that may consist of providing analyses, ratios, and scores that allow for understanding the financial status and solvency of companies.  </w:t>
        <w:br/>
        <w:t xml:space="preserve">9. It is therefore appropriate to recall what is covered by the legal publicity registers in France (1), before presenting the role of the registrars of the commercial courts (2).  </w:t>
        <w:br/>
        <w:t xml:space="preserve">1. THE LEGAL PUBLICITY REGISTERS  </w:t>
        <w:br/>
        <w:t xml:space="preserve">a) The commercial and companies register (hereinafter "RCS")  </w:t>
        <w:br/>
        <w:t xml:space="preserve">10. Article L. 123-1 of the Commercial Code states: "A commercial and companies register is maintained to which are registered, upon their declaration:  </w:t>
        <w:br/>
        <w:t xml:space="preserve">1° natural persons having the status of merchant, even if they are required to register in the trades register;  </w:t>
        <w:br/>
        <w:t xml:space="preserve">2° companies and economic interest groups having their registered office in a French department and enjoying legal personality in accordance with Article 1842 of the Civil Code or Article L. 257-4;  </w:t>
        <w:br/>
        <w:t xml:space="preserve">3° commercial companies whose registered office is located outside a French department and which have an establishment in one of these departments;  </w:t>
        <w:br/>
        <w:t xml:space="preserve">4° French public establishments of an industrial and commercial nature;  </w:t>
        <w:br/>
        <w:t xml:space="preserve">5° other legal entities whose registration is provided for by legislative or regulatory provisions;  </w:t>
        <w:br/>
        <w:t>6° commercial representations or agencies of foreign states, local authorities, or public establishments established in a French department."</w:t>
      </w:r>
    </w:p>
    <w:p>
      <w:r>
        <w:rPr>
          <w:b/>
        </w:rPr>
        <w:t>[Pages 7–9]</w:t>
      </w:r>
    </w:p>
    <w:p>
      <w:r>
        <w:t>11. According to II of the same article: "the registrations and acts or documents deposited as provided by decree in the Council of State are recorded in the register to be made known to the public."</w:t>
        <w:br/>
        <w:t>12. Thus, the RCS includes all declarations related to registrations, modifications, and deletions of companies referred to in Title I of Article L. 123-1 of the Commercial Code, as well as acts related to the economic and social life of companies.</w:t>
        <w:br/>
        <w:t>13. In particular, Article R. 123-82 of the Commercial Code, as amended by Decree No. 2007-750 of May 9, 2007, states that: "[t]he commercial and companies register includes: 1° an alphabetical file of registered persons; 2° the individual file constituted by the registration application, supplemented, where applicable, by subsequent registrations; 3° an annex file where the acts and documents that must be deposited in the commercial and companies register, pursuant to this code and all other legislative or regulatory provisions, are recorded."</w:t>
        <w:br/>
        <w:t>14. The local RCS is maintained by the clerk of the commercial court of the location of the company's headquarters or establishment, under the supervision of a judge responsible for the register.</w:t>
        <w:br/>
        <w:t>15. Any company subject to the obligation of registration in the RCS must carry out this procedural formality with the competent commercial court or high court, and pay various fees or charges to the court registry, which vary depending on its legal form and the act concerned. These amount, for example, to 83.96 euros for the registration of an SARL or an SA (including the deposit of acts). The amounts collected by the registry during this formality include a portion for the INPI (see paragraph 65 below), a portion for the legal announcement newspapers, and finally a portion for the registry.</w:t>
        <w:br/>
        <w:t>16. It should be noted that information concerning companies registered in the RCS with jurisdictions other than commercial courts (high court with commercial jurisdiction in Alsace-Moselle and mixed commercial courts in overseas departments and regions) is directly transmitted to the INPI (see paragraph 60 below).</w:t>
        <w:br/>
        <w:t>17. Furthermore, Article R. 123-152-1 of the Commercial Code, inserted by Decree No. 2009-1150 of September 25, 2009, relating to information in the commercial and companies register, allows for "copies, extracts or certificates [to be] issued by the clerks electronically under the conditions provided for in Article R. 741-5."</w:t>
        <w:br/>
        <w:t>b) The national register of commerce and companies (hereinafter "RNCS")</w:t>
        <w:br/>
        <w:t>18. Article R. 123-80 of the Commercial Code, as amended by Article 4 of Decree No. 2012-928 of July 31, 2012, relating to the commercial and companies register, states that: "a national register maintained by the National Institute of Industrial Property centralizes the documents equivalent to originals of the commercial and companies registers maintained in each registry. The clerk transmits to it, where applicable by electronic means, a copy of the registrations made at the registry and the acts and documents that have been deposited there within the deadlines and conditions set by the order provided for in Article R. 123-166."</w:t>
        <w:br/>
        <w:t>19. This subsequent role in the maintenance and management of the RNCS is valued by a "procedure fee" paid by the declarant at the time of their registration with the registry, which transfers it to the INPI. Its amount is set by an order of April 24, 2008. In this regard, the registries of commercial courts transferred approximately 13 million euros to the INPI in 2008 (pages 2579 and 2583).</w:t>
        <w:br/>
        <w:t>c) Other registers of legal publicity</w:t>
        <w:br/>
        <w:t>20. According to procedures similar to those described above for the RCS, the clerks are also solely responsible for maintaining other registers of legal publicity related to the debt status of companies and the rights and guarantees of creditors (privilege of the Public Treasury in tax matters, privilege of Social Security and complementary schemes, sale and pledge of business assets, pledge of agricultural or artisanal assets, judicial pledge, lien on stocks, pledge of tools and equipment, lien on tangible personal property, warrants, pledge of shares or intangible assets, leasing, rental contract, registration in the special register of loans and deadlines, retention of title clause, inalienability clause, protests, etc.).</w:t>
        <w:br/>
        <w:t>21. Unlike the information contained in local RCS, the information from these registers of legal publicity is not centralized by the INPI at the national level. Furthermore, the regulations applicable to these registers provide for more restricted publicity as these data relate to the debt status of individuals. The openings of collective proceedings (safeguard, judicial recovery, and liquidation) are also information compiled solely by the clerks and are subject to an ex officio mention in the RCS (Article R. 123-122 of the Commercial Code).</w:t>
        <w:br/>
        <w:t>22. These registers are computerized and the issuance of copies electronically is also authorized by regulatory means.</w:t>
        <w:br/>
        <w:t>23. The information contained in these registers is of particular interest to professional intermediaries in business intelligence (financial information and rating), and more generally to operators in the credit and insurance markets for the coverage of their credit risk.</w:t>
        <w:br/>
        <w:t>2. THE CLERKS OF THE COMMERCIAL COURTS</w:t>
        <w:br/>
        <w:t>a) General status and organization</w:t>
        <w:br/>
        <w:t>24. The commercial courts are first-instance jurisdictions composed of elected judges and a clerk (Article L. 721-1 of the Commercial Code). They are competent to hear disputes relating to commitments between merchants, credit institutions, commercial companies, and those relating to commercial acts between all persons (Article L. 721-3 of the Commercial Code).</w:t>
        <w:br/>
        <w:t>25. In 2012, there were 135 commercial courts spread across the national territory, compared to 227 in 1999. This significant decrease is primarily due to the judicial map reform carried out in 2009.</w:t>
        <w:br/>
        <w:t>26. Under Article L. 741-1 of the Commercial Code, the clerks of the commercial courts are public and ministerial officers. As a public officer, the clerk is a delegate of public authority, which confers authenticity to the acts within their competence. The status of ministerial officer enables them to assist individuals in the execution of certain acts as well as magistrates in the preparation and execution of their judicial decisions.</w:t>
        <w:br/>
        <w:t>27. The clerks are governed by texts containing common provisions for several categories of public and ministerial officers, on the one hand, and by the laws and regulations specifically applicable to them, on the other hand. In this regard, Article L. 742-1 of the Commercial Code states that "the rules for access to the profession (...) are set by decree in the Council of State."</w:t>
        <w:br/>
        <w:t>Currently, these rules are determined by Decree No. 2006-957 of July 31, 2006, relating to the conditions for access to the profession of clerk of the commercial court, which amended the provisions of previous decrees No. 87-601 of July 29, 1987, and No. 77-828 of July 20, 1977, relating to clerks of commercial courts.</w:t>
        <w:br/>
        <w:t>28. The clerks fall under the regime of liberal professions. Article L. 743-12 of the Commercial Code states that: "the clerks of the commercial courts may practice their profession individually, "as an employee of a natural or legal person holding a commercial court registry," in the form of professional civil societies or in the form of liberal practice companies (...). They may also be members of an economic interest group (...)."</w:t>
        <w:br/>
        <w:t>b) Responsibilities</w:t>
        <w:br/>
        <w:t>29. The missions entrusted to the clerks are diverse and are outlined in Articles R. 741-1 to R. 741-5 of the Commercial Code. They assist the commercial judges at hearings and in all cases provided by law. They also assist the president of the commercial court in all administrative tasks specific to them and ensure their secretariat.</w:t>
        <w:br/>
        <w:t>30. In particular, Article R. 741-2 of the Commercial Code provides that the clerk "ensures the maintenance of the various registers provided for by the texts in force and keeps the court files up to date. They format the decisions made and reasoned by the judges. They are the custodian of the minutes and archives for which they ensure preservation. (...) They draft the registry acts and carry out the formalities for which they are competent. They prepare the meetings of the court, for which they draft and archive the minutes. (...) They ensure public reception."</w:t>
        <w:br/>
        <w:t>31. The legislator has thus entrusted the clerks with the mission of maintaining the RCS of their respective jurisdiction (Article L. 123-6 of the Commercial Code) and controlling the regularity of the acts and registrations that must appear there before proceeding with the registration or modification of a company's statutes (Articles L. 210-7 and R. 123-92 to R. 123-101-1 of the Commercial Code). Registration in the RCS confers legal personality to commercial companies (Article L. 210-6 of the Commercial Code).</w:t>
        <w:br/>
        <w:t>32. As the custodian of the RCS, the clerk is at the heart of the administrative procedures related to the registration of companies. Upstream, there are the business formalities centers (CFE) created to receive the unique file and transmit the constitutive elements to the various competent administrations. Downstream, the clerk is in contact with the INPI, which centralizes the local RCS, with the Official Bulletin of Civil and Commercial Announcements (BODACC), which publishes registrations and notices on certain events recorded in the RCS (Articles R. 123-155 to R. 123-162 and R. 123-209 to R. 123-219 of the Commercial Code), and finally with the National Institute of Statistics and Economic Studies (INSEE), which assigns to every new registrant in the RCS an identifier kept in the SIRENE directory of companies and establishments (Articles R. 123-220 and R. 123-221 of the Commercial Code).</w:t>
        <w:br/>
        <w:t>33. In this context, Article R. 741-4 of the Commercial Code provides that in matters of company registration in the RCS, the clerk may be authorized, after an order from the Keeper of the Seals, to exercise all or part of the activities assigned to the CFEs in accordance with Articles R. 123-1 and following of the Commercial Code. For example, the registries of commercial courts are CFEs competent for civil companies, EPICs, and commercial agents (Article R. 123-3, 4° of the Commercial Code).</w:t>
        <w:br/>
        <w:t>34. It follows from these legislative and regulatory provisions that the clerks have the legal monopoly on the collection of information that must appear in the registers of legal publicity, and are</w:t>
      </w:r>
    </w:p>
    <w:p>
      <w:r>
        <w:rPr>
          <w:b/>
        </w:rPr>
        <w:t>[Pages 10–12]</w:t>
      </w:r>
    </w:p>
    <w:p>
      <w:r>
        <w:t>the main operators. Following the adoption of decree no. 2009-1150 of September 25, 2009, relating to the information contained in the commercial and companies register, the new article R. 123-101-1 of the Commercial Code now allows for: "the registrar certifies the identity of the information recorded on electronic media for the maintenance of the register with that received in accordance with articles R. 123-92 to R. 123-98."</w:t>
      </w:r>
    </w:p>
    <w:p>
      <w:r>
        <w:t>35. Finally, the registrars ensure a mission of publicizing legal information about companies to the public (articles L. 123-1-II and R. 123-150 to 123-152-2 of the Commercial Code), which will be presented in more detail in paragraphs 70 to 78 below as this mission is the subject of the present case.</w:t>
      </w:r>
    </w:p>
    <w:p>
      <w:r>
        <w:t>c) Conditions of remuneration</w:t>
      </w:r>
    </w:p>
    <w:p>
      <w:r>
        <w:t>36. The remuneration for the missions entrusted to public and ministerial officers is subject to a pricing set by public authorities, in application of article 1 of the act known as law no. 145 of March 29, 1944, relating to the tariffs of fees allocated to public or ministerial officers, validated and supplemented by ordinance no. 45-2048 of September 8, 1945, which states that: "all rights or fees in favor of public or ministerial officers may be created by public administrative regulation; they may be, in the same form, modified or abolished, even if they have been the subject of legislative provisions."</w:t>
      </w:r>
    </w:p>
    <w:p>
      <w:r>
        <w:t>37. In this regard, article L. 743-13 of the Commercial Code provides that: "[t]he fees of the registrars of commercial courts are set by decree in the Council of State." Currently, the pricing of registrars results from article 1 of decree no. 2007-812 of May 10, 2007, relating to the fees of registrars of commercial courts and amending the Commercial Code, as transposed to article R. 743-140 of the Commercial Code. This article states that: "The fees owed to the registrars of commercial courts for the establishment and compliance check of acts of their ministry are determined and fixed in accordance with the following provisions and the tables in annex 7-5 of this book. They include the remuneration for all work, care, diligence, and formalities related to the act or procedure in question. The remuneration for the diligence of each transmission of an act, decision, or document, by hand delivery against receipt or by secure electronic means amounts to a base rate and a half. When the transmission is made in another form, the expenses, including postage and telephone costs, are reimbursed to the registrar for their actual amount, unless a transmission flat rate has been provided in the aforementioned tables of annex 7-5."</w:t>
      </w:r>
    </w:p>
    <w:p>
      <w:r>
        <w:t>38. It follows from articles R. 743-140, paragraph 3, and R. 743-142 of the Commercial Code that the fee for the diligence of each transmission of an act by hand delivery or by electronic means is set at a base rate and a half, currently 1.95 euros excluding VAT or 2.33 euros including VAT.</w:t>
      </w:r>
    </w:p>
    <w:p>
      <w:r>
        <w:t>39. Furthermore, article R. 743-154 of the Commercial Code prohibits registrars "from claiming or collecting fees higher than those provided for, under penalty of restitution of the unduly collected amount and disciplinary proceedings."</w:t>
      </w:r>
    </w:p>
    <w:p>
      <w:r>
        <w:t>40. Article R. 743-155 of the same code, however, allows registrars to "collect special fees for work, formalities, diligence, or missions falling within their functions that are not provided for by articles R. 743-140 to R. 743-155 when issuing (...), information and statistics in a form other than certificates, copies, or extracts of the registrations recorded in the registers kept in the registries and acts filed in annex, of the commercial and companies register." Article R. 743-155, paragraph 3, of said code specifies, however, that "special fees are, in the absence of an agreement between the registrar and the person who must ultimately bear the charge, judicially fixed in accordance with common law" (see article 725-1 of the new Code of Civil Procedure).</w:t>
      </w:r>
    </w:p>
    <w:p>
      <w:r>
        <w:t>41. The pricing of registry fees thus responds to the following guiding principles: a flat fee per act (articles R. 743-140 and R. 743-142 aforementioned), a public order nature of the tariffs (article R. 743-154 aforementioned), the free of charge nature of certain diligences (articles R. 743-143 and R. 743-145 of the Commercial Code), and finally an exceptional right to freely negotiated fees between the registrar and the person bearing the charge (article R. 743-155 aforementioned).</w:t>
      </w:r>
    </w:p>
    <w:p>
      <w:r>
        <w:t>42. According to information disseminated by the National Congress of Registrars of Commercial Courts, at the end of 2010 and following the overhaul of the judicial map, the 135 registries employ 2,000 employees and manage approximately 5 million acts per year (page 3160) with a national turnover of around 206 million euros (pages 2614 to 2661). These data appear stable, with the registry of the Paris commercial court, for example, having achieved a turnover of 25 million euros in 1996 (page 581) and 26 million euros in 2008 (page 1728).</w:t>
      </w:r>
    </w:p>
    <w:p>
      <w:r>
        <w:t>C. THE PARTIES CONCERNED</w:t>
      </w:r>
    </w:p>
    <w:p>
      <w:r>
        <w:t>1. THE GIE INFOGREFFE</w:t>
      </w:r>
    </w:p>
    <w:p>
      <w:r>
        <w:t>a) Operation</w:t>
      </w:r>
    </w:p>
    <w:p>
      <w:r>
        <w:t>43. Registrars may be members of an economic interest grouping. Article R. 741-5 of the Commercial Code indeed specifies that "[t]he information is disseminated directly by the competent registry. However, registrars may associate within a grouping having either one of the forms authorized by article L. 743-12, or in an associative form. This grouping is responsible for centralizing calls and directing them to the relevant registry."</w:t>
      </w:r>
    </w:p>
    <w:p>
      <w:r>
        <w:t>44. The GIE Infogreffe is not the only grouping that has been established by the registries of commercial courts to develop IT tools for managing and disseminating legal information. For example, 17 registries including those of Beauvais, Nantes, Valenciennes, and Meaux are part of the Group for the Automation of Registries through IT (GAGI) created in 1977. Similarly, the Intergreffe grouping, created in 1991, brings together about fifteen registries, including those of Nîmes, Mâcon, Lyon, and Toulouse. However, the activity of disseminating legal information from these registries is now ensured by Infogreffe.</w:t>
      </w:r>
    </w:p>
    <w:p>
      <w:r>
        <w:t>45. Indeed, since 2004, the 135 registries of commercial courts in metropolitan France have been individually members of Infogreffe. Its legal form as an economic interest grouping allows for the absence of publication of its social accounts in the commercial register. Infogreffe is also a registered trademark. Its headquarters is located in Vincennes in the Val-de-Marne department.</w:t>
      </w:r>
    </w:p>
    <w:p>
      <w:r>
        <w:t>46. According to article 1 of its statutes, Infogreffe enjoys legal personality and full capacity (page 1302). It is also specified in article 2, paragraph 3, of these same statutes that it may act either on its own behalf or as a representative of its members. Its statutes authorize it to take any participation in any legal entity having the same corporate purpose or a related purpose.</w:t>
      </w:r>
    </w:p>
    <w:p>
      <w:r>
        <w:t>47. Infogreffe is administered by a board of directors composed of 10 directors (article 11§1 of the statutes, page 1305) who designate an executive committee composed of a president and a secretary. The current composition of the board of directors reflects the gradual extension of the grouping to all registries of commercial courts previously members of other groupings, namely two directors from GAGI, two directors from Infogreffe-Informatique, two directors from Intergreffe, two directors from the Agora grouping, and one director from the Paris registry. Furthermore, the president of the National Council of Registrars of Commercial Courts and the honorary president and co-founder of the GIE each have a consultative vote.</w:t>
      </w:r>
    </w:p>
    <w:p>
      <w:r>
        <w:t>48. Finally, the general assembly is composed of all members of the grouping. Under article 14 of the statutes, each member (natural or legal person) is assigned one vote as well as a portion of the 335 votes distributed pro rata based on the turnover of the previous calendar year retroceded by each registry (page 1308).</w:t>
      </w:r>
    </w:p>
    <w:p>
      <w:r>
        <w:t>b) Attributions</w:t>
      </w:r>
    </w:p>
    <w:p>
      <w:r>
        <w:t>49. Article 2 of the statutes of the GIE states that: "in order to facilitate and develop the economic activity of its members, to improve or increase the results of this activity, the Grouping has, in particular, the purpose of pooling by its members all technical means, notably electronic, computer, telematic, and office automation, enabling the improvement of the service rendered by the Registries of Commercial Courts (...) and in particular in the field of dissemination to third parties of the information they hold, through the development of any dissemination vector, and that of electronic certification" (page 1302).</w:t>
      </w:r>
    </w:p>
    <w:p>
      <w:r>
        <w:t>50. Article 11§4 of said statutes specifies that the board of directors defines the evolution of its products, the development policy of the grouping, and determines the use of sums that cannot be allocated to members (pages 1306 and 1307).</w:t>
      </w:r>
    </w:p>
    <w:p>
      <w:r>
        <w:t>51. In practice, Infogreffe acts, in accordance with article R. 741-5 of the Commercial Code, on behalf of all the registries of commercial courts in metropolitan France regarding any aspect related to the provision of online formalities services and allows for the centralization of the dissemination of legal and economic information about companies on behalf of the registries.</w:t>
      </w:r>
    </w:p>
    <w:p>
      <w:r>
        <w:t>52. It thus ensures registrations, modifications, and deletions (hereinafter "IMR") electronically. It disseminates information from the legal registers of each registry, either to intermediaries such as filing companies or financial institutions, or to the end user, in accordance with the provisions of article L. 123-152-1 of the Commercial Code which provides that "copies, extracts, or certificates may be issued by the registrars electronically under the conditions provided for by article R. 741-5."</w:t>
      </w:r>
    </w:p>
    <w:p>
      <w:r>
        <w:t>c) Revenue</w:t>
      </w:r>
    </w:p>
    <w:p>
      <w:r>
        <w:t>53. In 2008, the turnover of Infogreffe was 53.9 million euros (pages 1213 and following), mainly redistributed to the registrars in the accounting form of "other purchases and external charges," and more accessibly in the form of profit distribution. In 2011, the turnover amounted to 63.459 million euros (page 6223).</w:t>
      </w:r>
    </w:p>
    <w:p>
      <w:r>
        <w:rPr>
          <w:b/>
        </w:rPr>
        <w:t>[Pages 13–15]</w:t>
      </w:r>
    </w:p>
    <w:p>
      <w:r>
        <w:t xml:space="preserve">des conventions avec des opérateurs privés pour la diffusion des informations.  </w:t>
        <w:br/>
        <w:t xml:space="preserve">b) Les informations diffusées par voie électronique doivent être accessibles à toute personne qui en fait la demande, sous réserve du paiement des redevances fixées par le greffe.  </w:t>
        <w:br/>
        <w:t xml:space="preserve">c) Les greffiers doivent s'assurer que les informations diffusées sont exactes et à jour.  </w:t>
        <w:br/>
        <w:t>d) Les modalités de diffusion des informations par voie électronique sont précisées par un arrêté du ministre chargé de l'économie.</w:t>
      </w:r>
    </w:p>
    <w:p>
      <w:r>
        <w:t>74. En outre, l’article R. 123-153 du code de commerce précise que « les greffiers peuvent délivrer des copies, extraits ou certificats des inscriptions portées au registre et actes déposés en annexe, sous réserve du paiement des redevances fixées par le greffe ».</w:t>
      </w:r>
    </w:p>
    <w:p>
      <w:r>
        <w:t>75. Enfin, l’article R. 123-154 du même code dispose que « les greffiers doivent tenir à jour un registre des demandes de copies, extraits ou certificats, ainsi que des redevances perçues ».</w:t>
      </w:r>
    </w:p>
    <w:p>
      <w:r>
        <w:t xml:space="preserve">2. OFFRES DES OPÉRATEURS DU SECTEUR  </w:t>
        <w:br/>
        <w:t>76. Les opérateurs du secteur proposent divers services relatifs à la diffusion d'informations issues des registres de publicité légale. Ces services incluent l'accès à des bases de données, la fourniture de certificats, copies ou extraits, ainsi que des services d'analyse et de traitement des données.</w:t>
      </w:r>
    </w:p>
    <w:p>
      <w:r>
        <w:t>77. Infogreffe, en tant qu'opérateur principal, offre un accès en ligne aux informations du registre du commerce et des sociétés, permettant aux utilisateurs de consulter et de commander des documents.</w:t>
      </w:r>
    </w:p>
    <w:p>
      <w:r>
        <w:t>78. D'autres opérateurs, tels que Coface-services et Altares, proposent également des services d'information sur la solvabilité des entreprises et la gestion de créances, enrichissant ainsi l'offre disponible sur le marché.</w:t>
      </w:r>
    </w:p>
    <w:p>
      <w:r>
        <w:t xml:space="preserve">3. ACCORD ENTRE INFOGREFFE ET L’INPI  </w:t>
        <w:br/>
        <w:t>79. Un accord a été conclu entre Infogreffe et l'INPI pour la gestion et la diffusion des informations issues des registres de publicité légale. Cet accord vise à rationaliser les processus de collecte et de diffusion des données, tout en garantissant la conformité avec les exigences légales en matière de propriété industrielle et de registre du commerce.</w:t>
      </w:r>
    </w:p>
    <w:p>
      <w:r>
        <w:t>80. Cet accord stipule que Infogreffe est responsable de la centralisation des informations et de leur mise à disposition des utilisateurs, tandis que l'INPI assure la régulation et le contrôle de la qualité des données diffusées.</w:t>
      </w:r>
    </w:p>
    <w:p>
      <w:r>
        <w:t>81. En conclusion, la collaboration entre Infogreffe et l'INPI est essentielle pour garantir l'accès à des informations fiables et à jour, tout en respectant les obligations légales en matière de diffusion d'informations publiques.</w:t>
      </w:r>
    </w:p>
    <w:p>
      <w:r>
        <w:rPr>
          <w:b/>
        </w:rPr>
        <w:t>[Pages 16–18]</w:t>
      </w:r>
    </w:p>
    <w:p>
      <w:r>
        <w:t xml:space="preserve">to the same ends agreements with the National Institute of Industrial Property for its attributions;  </w:t>
        <w:br/>
        <w:t xml:space="preserve">b) The information only concerns the entries appearing, in accordance with legislative and regulatory texts, in the registers for which the registrars are responsible;  </w:t>
        <w:br/>
        <w:t xml:space="preserve">c) The information is provided as recorded in the registers or on the attached documents, without undergoing any processing, subject to the provisions set forth by the regulatory act taken in application of Law No. 78-17 of January 6, 1978, relating to data processing, files, and freedoms."  </w:t>
        <w:br/>
        <w:t xml:space="preserve">74. Thus, the electronic dissemination of information from the legal publicity registers adheres to three principles that the Competition Council had already noted in its opinion No. 99-A-08 of April 28, 1999:  </w:t>
        <w:br/>
        <w:t xml:space="preserve">"firstly, that the registrars receive inquiries from the GIE; secondly, that they exclusively provide information concerning entries in the legal publicity registers; and thirdly, that this information is delivered without undergoing any processing" (page 13).  </w:t>
        <w:br/>
        <w:t xml:space="preserve">75. Registrars can therefore group together within a GIE, like Infogreffe, to centralize requests for certificates, copies, or extracts from the legal publicity registers for electronic dissemination, but they can only disseminate "raw information," that is to say, without processing or enriching the data.  </w:t>
        <w:br/>
        <w:t xml:space="preserve">76. According to Article R. 743-140, paragraph 3, of the Commercial Code: "the remuneration for the handling of each transmission of an act, decision, or document, by hand delivery against receipt or by secure electronic means amounts to a base rate and a half. When the transmission is made in another form, the expenses, including postage and telephone costs, are reimbursed to the registrar for their actual amount, unless a transmission flat rate has been provided for in the tables of the aforementioned annex 7-5."  </w:t>
        <w:br/>
        <w:t xml:space="preserve">77. Infogreffe, for the dissemination of certificates, copies, or extracts from the registers, applies the regulatory rate. The transmission by electronic means is charged at 1.5 base rate, or 1.95 euros excluding tax or 2.33 euros including tax (see paragraph 38 above).  </w:t>
        <w:br/>
        <w:t xml:space="preserve">78. As for the INPI, Article R. 123-153 of the Commercial Code specifies that it "satisfies, upon payment of fees, the requests mentioned in Article R. 123-150 by certificate, copy, or communication of the information contained in the national register. Copies as recorded in the register may be disseminated for informational purposes by electronic means."  </w:t>
        <w:br/>
        <w:t xml:space="preserve">2. OFFERS FOR ELECTRONIC DISSEMINATION OF INFORMATION FROM LEGAL PUBLICITY REGISTERS  </w:t>
        <w:br/>
        <w:t xml:space="preserve">79. Below will be presented the offer from Infogreffe (a), then the offer from the INPI (b), and finally that of private professional intermediaries (c).  </w:t>
        <w:br/>
        <w:t xml:space="preserve">a) The offer from Infogreffe  </w:t>
        <w:br/>
        <w:t xml:space="preserve">80. Infogreffe centralizes, on behalf of the registrars, requests for certificates, copies, or extracts from the legal publicity registers electronically, whether individually or in bulk. However, it can only disseminate "raw information," that is to say, without processing or enriching the data (see paragraph 73 above).  </w:t>
        <w:br/>
        <w:t xml:space="preserve">81. Any private or legal person can obtain legal information on the act at the Infogreffe.fr site at the rates set by the aforementioned decree No. 2007-812, as codified in the tables of annex 7-5 of Article R. 743-140 of the Commercial Code. The table below summarizes the fees charged for certain types of information, to which must be added the cost of each electronic transmission set at 2.33 euros including tax and applied directly by Infogreffe, which has a mandate from each registry in this regard:  </w:t>
        <w:br/>
        <w:t xml:space="preserve">Product Price including tax (in euros) Register  </w:t>
        <w:br/>
        <w:t xml:space="preserve">Kbis extract 3.11 RCS/RNCS  </w:t>
        <w:br/>
        <w:t xml:space="preserve">Information on 3.11  </w:t>
        <w:br/>
        <w:t xml:space="preserve">Other register  </w:t>
        <w:br/>
        <w:t xml:space="preserve">debt status  </w:t>
        <w:br/>
        <w:t xml:space="preserve">1.55 (certificate of non-filing)  </w:t>
        <w:br/>
        <w:t xml:space="preserve">RCS/RNCS  </w:t>
        <w:br/>
        <w:t xml:space="preserve">Annual accounts 3.59 (simple balance sheet)  </w:t>
        <w:br/>
        <w:t xml:space="preserve">9.33 (full copy of annual accounts)  </w:t>
        <w:br/>
        <w:t xml:space="preserve">History of 7.77  </w:t>
        <w:br/>
        <w:t xml:space="preserve">RCS/RNCS  </w:t>
        <w:br/>
        <w:t xml:space="preserve">modifications  </w:t>
        <w:br/>
        <w:t xml:space="preserve">Existence of a 1.55  </w:t>
        <w:br/>
        <w:t xml:space="preserve">collective procedure Other register  </w:t>
        <w:br/>
        <w:t xml:space="preserve">82. It is also possible to access this information through accounts, without affecting the rates indicated above. In this way, a previously identified client can electronically access the Infogreffe server to obtain information, with the only difference compared to an occasional user being that they can pay for their orders monthly by direct debit upon payment of a subscription fee (90 euros including tax per year and per user in 2013). The subscription allows, in addition to this payment convenience, certain searches on the server that are not possible for an occasional client, such as access to the monitoring service for registrations of pledges and privileges, information relating to collective procedures, or multi-criteria search functionalities for companies. The subscribed clientele mainly consists of professionals from the legal and judicial world, banks, and collection agencies.  </w:t>
        <w:br/>
        <w:t xml:space="preserve">83. Buyers of legal information on the life of companies from the GIE Infogreffe are divided into four groups:  </w:t>
        <w:br/>
        <w:t xml:space="preserve">- a first clientele consisting of banks and insurance or credit institutions;  </w:t>
        <w:br/>
        <w:t xml:space="preserve">- a second clientele consisting of professional intermediaries in economic and financial intelligence (including the companies Coface and Altares);  </w:t>
        <w:br/>
        <w:t xml:space="preserve">- a third clientele consisting of legal and judicial professions (accountants, lawyers, bailiffs, notaries, and magistrates) needing an extract or a copy of an act in the exercise of their activity;  </w:t>
        <w:br/>
        <w:t xml:space="preserve">- and a fourth clientele that is very fragmented, consisting of individuals and businesses.  </w:t>
        <w:br/>
        <w:t xml:space="preserve">84. For companies present in the credit market, that is to say, the first two types of clientele, reliable and immediate information is an essential prerequisite. For these categories of clients, Infogreffe offers the possibility of entering into bulk transfer contracts for raw information, mainly from registers other than the RCS (the registers of securities and movable privileges).  </w:t>
        <w:br/>
        <w:t xml:space="preserve">85. When questioned in this regard by the investigation services on November 16, 2009, the president of Infogreffe specified that: "the last service provision contract dated October 31, 2008, with Altares provides for a price of 4.25 euros excluding tax per monitored SIREN (privileges and securities). For this service, we do not apply the exact rate of the decree (of 5.20 euros for the issuance of a statement of registered privileges by social security and the Public Treasury). (...) The GIE cannot grant licenses, and does not have the legal capacity to do so. (...) This is a matter governed by the decree, but the registrars on the board of directors of INFOGREFFE agreed to provide this information at a lower rate, given the volume" (page 1185).  </w:t>
        <w:br/>
        <w:t xml:space="preserve">86. It appears from the investigation file that Infogreffe also entered into a three-year contract for the provision of the Infogreffe-Prevention service with Altares in September 2005 concerning the monitoring of a list of companies provided by the GIE. The transmitted information concerned registrations of privileges from Social Security and the Public Treasury (pages 363 to 370). Similar contracts titled "monitoring/registrations Treasury-Social Security" for a duration of two years were also concluded with Coface in 1997 and then in 2001 (pages 359 to 361).  </w:t>
        <w:br/>
        <w:t xml:space="preserve">87. The dissemination of data in bulk by Infogreffe to this type of operators is carried out, according to its president, not via the eponymous server, as is the case for a final consumer, but through a "direct flow established between the Infogreffe server and the client's server for massive and automatic data provision" (page 4148). The president of Infogreffe also specified that contracts for the bulk supply of acts, such as annual accounts, "provide for transmission not only in PDF format but also and especially in the form of electronic data in XML format" (page 4148).  </w:t>
        <w:br/>
        <w:t xml:space="preserve">88. It should be noted that the Commercial Code does not contain any specifics regarding the pricing of bulk dissemination of acts referred to in annex 7-5 of Article R. 743-140, this provision only enumerating the fees owed to the registrars for acts transmitted individually.  </w:t>
        <w:br/>
        <w:t xml:space="preserve">89. It follows from these elements that Infogreffe offers bulk transfer contracts for raw information from the legal publicity registers at flat rates different from those provided for by the aforementioned decree No. 2007-812. Conversely, it applies the pricing decree when a legal or private person wishes to obtain legal information on the act from the Infogreffe.fr site, and notably the fee for electronic transmission charged at 2.33 euros including tax.  </w:t>
        <w:br/>
        <w:t xml:space="preserve">b) The offer from the INPI  </w:t>
        <w:br/>
        <w:t>90. The first dissemination channel from the INPI passed through the site Euridile.fr created in 1988, originally based on Minitel technology, which offered detailed access to all data from the RNCS for final clients, public or private. This telematic service</w:t>
      </w:r>
    </w:p>
    <w:p>
      <w:r>
        <w:rPr>
          <w:b/>
        </w:rPr>
        <w:t>[Pages 19–21]</w:t>
      </w:r>
    </w:p>
    <w:p>
      <w:r>
        <w:t xml:space="preserve">information was included in the agreement dated July 20, 1993, signed between the INPI and the company OR-Télématique, which became Coface ORT and then Coface-services mentioned in paragraph 59 above.  </w:t>
        <w:br/>
        <w:t xml:space="preserve">91. From its Euridile.fr site operational until September 2009, the INPI offered four types of products, each corresponding to its own pricing: key information (company identity sheet, financial elements, annual accounts), the company identity certificate, a copy of the digitized official documents (complete annual accounts, balance sheets, income statements, general report of the statutory auditor, management report, acts and statutes), and movable property.  </w:t>
        <w:br/>
        <w:t xml:space="preserve">92. Below are the prices charged by the INPI via Euridile.fr for the retail consultation of certain products derived from the RNCS data:  </w:t>
        <w:br/>
        <w:t xml:space="preserve">Product Type Price excluding tax (in euros)  </w:t>
        <w:br/>
        <w:t xml:space="preserve">Company identity certificate 2.50  </w:t>
        <w:br/>
        <w:t xml:space="preserve">Copy of registration or statutes 7  </w:t>
        <w:br/>
        <w:t xml:space="preserve">Copy of complete annual accounts 11  </w:t>
        <w:br/>
        <w:t xml:space="preserve">Copy of balance sheet/income statement 5  </w:t>
        <w:br/>
        <w:t xml:space="preserve">Copy of financial elements 1.50  </w:t>
        <w:br/>
        <w:t xml:space="preserve">Company identity sheet 1.50  </w:t>
        <w:br/>
        <w:t xml:space="preserve">93. Furthermore, the INPI introduced a licensing policy as early as 1993 through the concession agreement concluded with ORT allowing for wholesale sales of RNCS data (page 2419). These licenses are part of the implementation of European Directive No. 2003/98/EC of November 17, 2003, concerning the reuse of public sector information, transposed into domestic law by Article 2 of Ordinance No. 2005-650 of June 6, 2005, relating to the freedom of access to administrative documents, which amended the aforementioned Law No. 78-753 of July 17, 1978.  </w:t>
        <w:br/>
        <w:t xml:space="preserve">94. The INPI transmitted to the investigation services the documents relating to the terms of granting these licenses (pages 2419 to 2420). It appears that a license agreement is granted for one year. Any request must be addressed to the Director General of the INPI, who must consult a licensing committee for advice. This body examines the license requests which are approved by the Board of Directors of the INPI upon the proposal of the Director General.  </w:t>
        <w:br/>
        <w:t xml:space="preserve">95. The INPI offers three licenses:  </w:t>
        <w:br/>
        <w:t xml:space="preserve">• The "IMR" license (registrations, modifications, deletions) covering information from the RNCS transmitted on magnetic media or electronically;  </w:t>
        <w:br/>
        <w:t xml:space="preserve">• The "annual company accounts" license which grants the licensee the use of information related to the corporate accounts of companies based on queries whose selection criteria are the activity code, the geographical area, and the size of the companies;  </w:t>
        <w:br/>
        <w:t xml:space="preserve">• The "Client/Server Protocol" license (hereinafter "CSP") which grants the licensee an electronic "à la carte" access to information from the RNCS as well as the ability to order digitized documents (acts, balance sheets, etc.).  </w:t>
        <w:br/>
        <w:t xml:space="preserve">96. The license fees are set by the INPI "based on a pricing schedule, taking into account the economic value of the data and the high potential of the information dissemination market. These fees vary depending on the type of license (internal use or distribution), and the nature of the data, the volume" (page 2420).  </w:t>
        <w:br/>
        <w:t xml:space="preserve">97. For these three licenses, the INPI offers two types of rates depending on whether the licenses are for "internal and personal use," granting the licensee the non-exclusive right to personal use of the information without distribution activity, or for "distribution use," granting the licensee the non-exclusive right to market information to which they have added value.  </w:t>
        <w:br/>
        <w:t xml:space="preserve">98. The investigation established that the clients licensed by the INPI are primarily private operators who are professional intermediaries in information on the solvency of companies and financial intelligence, but also at least one financial institution.  </w:t>
        <w:br/>
        <w:t xml:space="preserve">c) The offer of professional intermediaries  </w:t>
        <w:br/>
        <w:t xml:space="preserve">99. In general, private operators reprocess information from legal publicity registers by adding value, which may consist of providing analyses, ratios, and scores to assess the financial status and solvency of companies or by reconstructing information obtained from sources other than the various RCS or the RNCS.  </w:t>
        <w:br/>
        <w:t xml:space="preserve">100. Coface notably offers professionals a product "Score@Rating," which adds value resulting from a risk calculation based on official information and private information (page 24), allowing them to inform their client portfolio (page 746).  </w:t>
        <w:br/>
        <w:t xml:space="preserve">101. These operators may also offer access to certain raw information free of charge, such as the company identity sheet (page 53) or at prices close to those charged by Infogreffe, such as the complete digitized copy of the corporate accounts (page 69). However, the companies Coface and Altares primarily sell enriched information derived from the RCS and other registers (liens and privileges, collective proceedings), supplemented with information from other sources, such as INSEE and official journals (page 848). These two companies hold a prominent position in the solvency information segment.  </w:t>
        <w:br/>
        <w:t xml:space="preserve">102. It appears from the investigation file that Coface acquired data from Infogreffe for approximately 1.7 million euros in 2008, of which 1.5 million euros pertained to registrations of privileges and collective proceedings. The information related to the RCS (including K bis extract) acquired by Coface is therefore residual. For its part, Altares explained that it sources 89% from Infogreffe for information other than that related to the RCS, namely primarily information concerning the monitoring of registrations of privileges and collective proceedings, for approximately 0.57 million euros per year (pages 2049 and 2050).  </w:t>
        <w:br/>
        <w:t xml:space="preserve">103. Thus, these two companies primarily source from Infogreffe for information from registers other than the RCS, and primarily from the INPI for information contained in the RNCS. The investigation also established that in addition to these two companies, other operators are active in this sector, such as Pouey International, Société SAS, Scores &amp; Decisions, CreditSafe, Bureau Vandyck, and Les Échos.  </w:t>
        <w:br/>
        <w:t xml:space="preserve">104. Representatives of the company Solvabilité Entreprises (CreditSafe) heard by the investigation services on March 7, 2011, stated: "we are a company of commercial and financial information in B-to-B, which purchases its information from various sources, public (INSEE, INPI, BODACC...) or private (INFOGREFFE, ACXIOM) to redistribute it after processing to SMEs and large accounts in order to help them manage their client risk. (...) Coface-Services and Altares are our biggest competitors. (...) I do not consider the GIE INFOGREFFE as a real competitor, as it is not in the solvency analysis niche. However, it is true that its alert systems do compete with us to some extent, and that the institution of the K bis extract may seem "strange" compared to other European countries. In any case, the cost of access to public information is, for example, significantly higher in France than that observed in the United Kingdom" (pages 3497 and 3498).  </w:t>
        <w:br/>
        <w:t xml:space="preserve">105. For its part, the company Société SAS (trading name "Société.com," hereinafter "Société.com") redistributes "raw information" from the RNCS (annual accounts), some of which is free of charge. Its business model relies on a partnership established with Google for the dissemination of certain free information accompanied by advertising based on keywords generating a certain flow of internet connections, which in turn determines advertising revenue. Heard by the investigation services on April 26, 2012, the Director General of Société.com stated: "I also consider Infogreffe as a competitor. (...) However, regarding Infogreffe, I consider its competition to be distorted, particularly the K bis extract, as well as the registrations of privileges, which are not available: the GIE Infogreffe prohibits the resale of K bis extracts. As for the registrations of privileges, assuming I could buy them regardless of the price, they are prohibited from resale in their current state unless this information is incorporated into a rating product. And this is different from other information such as accounts and balance sheets, which can be resold" (page 5013).  </w:t>
        <w:br/>
        <w:t xml:space="preserve">106. The "raw information" sold by these operators is primarily a loss leader, as confirmed by the president of Pouey International, whose activity is in client risk management. When questioned by the investigation services on March 10, 2011, he stated: "Our website (...) does offer some free company identity information for the most part, but it is a simple loss leader to direct the client to our services that provide real added value. (...) I do not exactly consider Infogreffe as a competitor, as it has no activity to my knowledge in debt collection or management insurance. Certainly, we offer free or sell on our website information related to companies, but these are more loss leader products than our actual business. Nevertheless, it remains a strategic provider for us" (page 3428).  </w:t>
        <w:br/>
        <w:t>107. Coface and Altares, regarding the offer of Infogreffe, denounce the maintenance of prices set by exclusively referring to the pricing schedule provided by the aforementioned decree No. 2007-812 (page 44).</w:t>
      </w:r>
    </w:p>
    <w:p>
      <w:r>
        <w:rPr>
          <w:b/>
        </w:rPr>
        <w:t>[Pages 22–24]</w:t>
      </w:r>
    </w:p>
    <w:p>
      <w:r>
        <w:t>3. THE AGREEMENT BETWEEN INFOGREFFE AND THE INPI</w:t>
        <w:br/>
        <w:t>a) Objectives of the agreement</w:t>
        <w:br/>
        <w:t>108. The data entry and digitization tasks for balance sheets carried out by Coface represented an average of 10 million euros per year charged to the INPI, making it the largest expense item in the management of the RNCS according to the INPI (page 2413). In 2005, this concession was replaced by a framework agreement still with the same operator.</w:t>
        <w:br/>
        <w:t>109. Furthermore, in practice, the transmission delays by certain registries of the information contained in the RCS to the INPI exceeded the legal deadline of 15 days provided for in Article 24 of the decree of February 9, 1988. When questioned in this regard by the investigation services, representatives of the INPI emphasized that out of 185 commercial court registries in 2008, 38 had delays of 10 to 20 days. Consequently, the public accessibility period for the legal information centralized in the RCNS varied from one month to one and a half months depending on the type of acts. The INPI's Euridile database was thus only up to date on average at J+30 compared to J+1 for the Infogreffe database.</w:t>
        <w:br/>
        <w:t>110. Therefore, during the 2000s, the registrars and supervisory authorities conducted a reflection to rationalize this process, which resulted in aborted merger projects between 2005 and 2009.</w:t>
        <w:br/>
        <w:t>111. The dematerialization of legal publicity registers rekindled the need to establish a common electronic platform and to put an end to the duplication of tasks. INPI representatives indeed indicated that "negotiations really started from the so-called CFE decree [decree n° 2006-679 of June 6, 2006] which recognizes since 2007 the registrars as CFE, and it is from this regulation that the creation of an electronic download platform became necessary" (page 2414).</w:t>
        <w:br/>
        <w:t>112. Two other contextual elements explain these new discussions: the reform of the judicial map implemented in 2009 (the registries of the TGI with commercial jurisdiction representing only 5% of the RCS collected by the INPI), on the one hand, and the fact that the registries gradually organized themselves from 2006 to enter and digitize the balance sheets themselves, so that payments from Infogreffe to the INPI declined from 2005 to 2008 and ceased in 2009, on the other hand.</w:t>
        <w:br/>
        <w:t>113. Consequently, in 2009, the INPI, legally required to maintain a strict budgetary balance and no longer able to rely on financial participation from the registries for the entry and digitization of annual accounts, risked conducting this mission alone, through Coface, in a deficit activity.</w:t>
        <w:br/>
        <w:t>114. In this context, an agreement was concluded between the INPI and Infogreffe on April 3, 2009, supplemented by an annex dated September 21, 2009 (the contractual set hereinafter referred to as "the agreement"). On this point, during their hearing by the investigation services on March 9, 2010, the leaders of the INPI emphasized that: "this agreement made with INFOGREFFE was done after approval by the board of directors of the INPI (12 members, including one representative from the Ministry of Justice, 2 from the Ministry of Economy, and 1 from the Budget)" (page 2418).</w:t>
        <w:br/>
        <w:t>b) Content of the agreement</w:t>
        <w:br/>
        <w:t>115. The preamble of the agreement states that, within the framework of Article R. 741-5 of the Commercial Code, the parties wish to renovate the system allowing companies to fulfill their obligations and access legal information. The agreement pursues three main objectives:</w:t>
        <w:br/>
        <w:t>22</w:t>
      </w:r>
    </w:p>
    <w:p>
      <w:r>
        <w:t>to avoid duplication of activity, to establish a system adapted to the development of e-administration, and to implement new modalities for electronic filings and information transfer.</w:t>
        <w:br/>
        <w:t>116. To this end, Article 1 of the agreement provides that: "the management of access to all this information [information from the RCS] is ensured by the GIE Infogreffe; For this purpose, the EURIDILE brand and the domain name Euridile.fr will be transferred to the GIE INFOGREFFE no later than October 3, 2009" (page 1713).</w:t>
        <w:br/>
        <w:t>117. Article 2 translates the end of task duplication by specifying that: "the INPI, when the request is made directly to it, communicates copies of documents: either via the GIE INFOGREFFE in digitized or electronic form; or directly by itself in paper form when the originals are only available in paper form" (page 1713).</w:t>
        <w:br/>
        <w:t>118. Article 3 of the agreement states that: "the licenses of the RNCS are issued by the INPI. The management of these licenses (IMR, annual accounts, SIRENE cadastre) is placed under the legal responsibility of the INPI. The electronic dissemination of the information covered by these licenses is technically ensured by the GIE Infogreffe according to technical and financial modalities to be defined. Three representatives of the GIE Infogreffe are appointed to the license committee to participate in the joint management of the RNCS licenses in terms of pricing and granting. (...) The net revenues from this activity are distributed between the INPI and the GIE Infogreffe according to legal and financial modalities to be defined by mutual agreement" (pages 1713 and 1714).</w:t>
        <w:br/>
        <w:t>119. Finally, Article 4 of the agreement provides, in particular, that: "the GIE Infogreffe integrates data from the INPI that it does not have (e.g., digitized document fund). The modalities of this transfer will be fixed by mutual agreement" (page 1714).</w:t>
        <w:br/>
        <w:t>120. Under this agreement, the INPI continues to disseminate the information available in the RNCS, either by communicating it directly to the requester in paper format or by mail, or in electronic and digitized form via Infogreffe. Furthermore, the INPI continues to issue the "IMR" and "annual accounts" licenses, but the electronic dissemination of these licenses is technically ensured by the GIE.</w:t>
        <w:br/>
        <w:t>121. This agreement was supplemented by an annex dated September 21, 2009, by which the parties established the technical and financial modalities for implementing the agreement that had been left pending at its conclusion (pages 1715 to 1717).</w:t>
        <w:br/>
        <w:t>122. It follows that concerning the "IMR" and "annual accounts" licenses, the INPI now receives 45.5% of the revenues and the GIE 54.5%, that the transfer of INPI assets (Euridile brand, domain names, and digitized documents) has been valued at 640,000 euros, and finally that at the same time the INPI contributed to the costs of implementing the new organization to the tune of 640,000 euros.</w:t>
        <w:br/>
        <w:t>123. Article 5 of the annex addresses the issue of managing the "CSP" licenses not covered in the agreement of April 3, 2009. It is specified that: "the GIE INFOGREFFE taking over directly on 10/01/2009 the contractual, financial, and technical management of the Web Client Server contracts, it is necessary to specify the rules for the discounts for the year 2009" (page 1716). From this date, Infogreffe thus took over the former "CSP" licenses which became Web Client Server ("WCS") contracts.</w:t>
        <w:br/>
        <w:t>23</w:t>
      </w:r>
    </w:p>
    <w:p>
      <w:r>
        <w:t>c) Consequences of the agreement</w:t>
        <w:br/>
        <w:t>124. Due to the implementation of the agreement, the INPI did not renew the public service concession with Coface, which had meanwhile become a framework agreement, and now entrusts the entry and digitization of the RNCS to Infogreffe (in reality to each concerned registry).</w:t>
        <w:br/>
        <w:t>125. In fact, as explained by the INPI in its observations: "[s]ince September 2009, online purchases of raw documents from the RNCS are made directly on the "INPI-La Boutique" site, based on the name and SIRENE number of the company. Electronic purchases are made by redirecting to the Infogreffe site" (page 4482).</w:t>
        <w:br/>
        <w:t>126. Infogreffe has thus taken over the dissemination of information accessible via the Euridile.fr site, with the exception of the "business identity certificate" and the "copy of financial elements." However, Infogreffe indicates that the "business identity certificate" from the INPI, replaceable by the Kbis extract, is also "by the identity sheet available on INFOGREFFE which is free" (page 2962).</w:t>
        <w:br/>
        <w:t>127. The 2009 agreement also resulted in entrusting the management of the "IMR" and "annual accounts" licenses to Infogreffe with an almost equal sharing of the corresponding revenues and a reduction in the budgetary cost borne by the INPI.</w:t>
        <w:br/>
        <w:t>128. Furthermore, representatives of Infogreffe now sit on the INPI's license committee, although the INPI remains the legal custodian of these licenses. For any license request, the candidate must send to the INPI the necessary information elements to allow it to verify that the attribution criteria are met. Among these elements must necessarily be the characteristics of the requested license (license "for internal use" or "distribution"), the presentation of the company, the annual accounts of the company for the last three years, the description of the services using the license, and finally details on the qualitative contribution of the products and services offered from a distribution license if one is requested (page 2419).</w:t>
        <w:br/>
        <w:t>129. The officials of the INPI explained, during their hearing by the investigation services on March 9, 2010, that: "following the agreement with INFOGREFFE, the INPI proposed to participate in this license committee by designating 2 representatives, and without changing the attributions of this committee. (...) They have the same advisory role as the other members of the license committee. There is therefore no co-decision on pricing, nor any veto right recognized to them" (pages 2417 and 2418).</w:t>
        <w:br/>
        <w:t>130. When questioned by the investigation services on February 24, 2011, about the functioning of the license committee since the entry of the GIE, the Director General of the INPI specified that: "it functions as in the previous period. It has actually met twice, once at the end of 2009 and again in 2010" (page 2924). The minutes of the two meetings of the license committee dated October 20, 2009, and October 19, 2010, were transmitted by the INPI and attest that the committee indeed issued a favorable opinion on the requests from the companies Scores &amp; Décisions for a distribution license "IMR" (page 2936) and an "annual accounts" license for internal use (pages 2934), that it accepted the modification of the distribution licenses "IMR" and "annual accounts" of CreditSafe (page 2934), and finally that it consented to the transformation of the "IMR" internal use license into a distribution license for the European Data Company (page 2934).</w:t>
        <w:br/>
        <w:t>131. Regarding the "CSP" license, the officials of the INPI specified, during their hearing by the investigation services on March 9, 2010, that: "it was (...) for technical reasons that it was transferred by the INPI to INFOGREFFE, under its contractual responsibility. Currently and to my knowledge, INFOGREFFE continues to apply the conditions and rates of the license.</w:t>
      </w:r>
    </w:p>
    <w:p>
      <w:r>
        <w:rPr>
          <w:b/>
        </w:rPr>
        <w:t>[Pages 25–27]</w:t>
      </w:r>
    </w:p>
    <w:p>
      <w:r>
        <w:t xml:space="preserve">PCS" (page 2416). However, whereas the "CSP" licenses provided for two levels of pricing, depending on whether the license was for "internal use" or for "distribution," the price for "internal use" has now disappeared from the new "WCS" contracts offered by the GIE, as has the obligation for enrichment within the framework of a "distribution" license.  </w:t>
        <w:br/>
        <w:t xml:space="preserve">132. Furthermore, the "CSP" license from the INPI, which has become the "WCS" contract under the aegis of Infogreffe, is not advertised on the INPI website or that of Infogreffe, since the agreement transfers not only the management of this license but also the complete ownership of the "digitized document fund" from the INPI to Infogreffe, with 50% of the information accessed under the "WCS" contracts originating from this fund. This "digitized document fund" indeed constitutes the "stock" of the former "CSP" licenses, with the information accessible "à la carte" referring to the acts and statutes of companies (management reports, auditor reports, etc.).  </w:t>
        <w:br/>
        <w:t xml:space="preserve">133. Additionally, the investigation file mentions two "WCS" contracts, one concluded on December 1, 2009, between Infogreffe and Altares (pages 3004 to 3013), and the other on October 1, 2009, with Coface (pages 3015 to 3025). The preamble of these contracts states that: "following the takeover of this service by INFOGREFFE, the Parties have concluded this contract to allow former clients of the INPI, licensed until 09/30/2009 for the client/server protocol service and data resellers, to continue accessing the documents." Article 2 titled "object of the contract" specifies that: "this service is intended exclusively for former clients of the INPI and data resellers" (page 3016).  </w:t>
        <w:br/>
        <w:t xml:space="preserve">134. However, the distribution license agreements "CSP" offered by the INPI did not mention any restriction on the number of licensees, as any interested operator could, subject to compliance with the conditions for obtaining, obtain a license by submitting a request to the INPI.  </w:t>
        <w:br/>
        <w:t xml:space="preserve">135. During the investigation, Infogreffe produced another model of the "WCS" contract concluded with the company Les Échos in 2011 (pages 4272 to 4284) which states, in its modified Article 1: "[f]ollowing the takeover of this service by INFOGREFFE, the Parties have concluded this contract to allow former clients of the INPI, licensed until 09/30/2009 for the client/server protocol service, as well as data resellers requesting it, to continue accessing the documents." Article 2 titled "object of the contract" has been modified as follows: "this service is intended exclusively for former clients of the INPI and data resellers requesting it."  </w:t>
        <w:br/>
        <w:t xml:space="preserve">136. It also emerges from the investigation file that two companies not previously licensed with the INPI, INFOLEGALE SAS and Assistance génie logiciel, have also concluded "WCS" contracts with Infogreffe.  </w:t>
        <w:br/>
        <w:t xml:space="preserve">137. According to Coface and Altares, this agreement would require them to turn to the INPI for obtaining licenses or by subscription to Infogreffe at a manifestly excessive cost.  </w:t>
        <w:br/>
        <w:t xml:space="preserve">E. NOTIFIED GRIEVANCES  </w:t>
        <w:br/>
        <w:t xml:space="preserve">138. On December 28, 2011, the general rapporteur of the Authority notified the following grievances: "(...) the following grievance is notified against the GIE INFOGREFFE: having, since May 10, 2007, throughout the national territory, abused its dominant position in the upstream market for the electronic dissemination of legal and economic information relating to companies, by charging manifestly excessive prices in relation to the value of the service rendered and its costs, particularly pricing an electronic transmission service at €2.33 including tax, the tariff decree only establishing a maximum price, these practices having had the effect of increasing the cost of acquiring certain information for certain professional intermediaries in company information, as well as on the related downstream market given the particular circumstances of the case, this practice having downstream effects by distorting competition between operators acting in this market, in violation of Article L. 420-2 of the Commercial Code.  </w:t>
        <w:br/>
        <w:t xml:space="preserve">Notified against the INPI and the GIE INFOGREFFE is the following grievance:  </w:t>
        <w:br/>
        <w:t xml:space="preserve">Since April 3, 2009, throughout the national territory, having conspired by agreement of April 3, 2009, supplemented on September 21, 2009, in the upstream market for the electronic dissemination of legal and economic information relating to companies, on the one hand to assign a seat on the INPI licensing committee to the GIE INFOGREFFE (concerning the IMR licenses and annual accounts), and on the other hand to modify the legal regime for the management of WCS licenses (formerly CSP), from a public service delegation to a private law contract, with the following potential effects:  </w:t>
        <w:br/>
        <w:t xml:space="preserve">To restrict upstream competition by potentially increasing the cost of access to certain information for professional intermediaries in company information and former licensees of the INPI, with the removal of products (which could benefit from wholesale prices) accompanied by the removal of pricing (thus preventing the remaining product from being acquired at a wholesale price), it being noted that for non-removed products, the continuation of tiered discounts remains uncertain,  </w:t>
        <w:br/>
        <w:t xml:space="preserve">To restrict upstream competition, with the non-access of a potential new entrant to the wholesale market for "à la carte" information (access to the WCS contract), thus relegated to the retail market,  </w:t>
        <w:br/>
        <w:t xml:space="preserve">To distort competition with INFOGREFFE's access to the INPI Licensing Committee, access which gives it an unjustified advantage in knowing the financial ratios and projects of its future upstream clients and new downstream competitors, in violation of Article L. 420-1 of the Commercial Code."  </w:t>
        <w:br/>
        <w:t xml:space="preserve">II. Discussion  </w:t>
        <w:br/>
        <w:t xml:space="preserve">139. In accordance with Article L. 464-6 of the Commercial Code, "when no practice likely to harm competition in the market is established, the Competition Authority may decide (...), that there is no need to continue the procedure. This decision is reasoned."  </w:t>
        <w:br/>
        <w:t xml:space="preserve">A. ON THE NOTIFIED GRIEVANCES  </w:t>
        <w:br/>
        <w:t xml:space="preserve">140. It follows from the provisions of paragraph 2 of Article R. 463-11 of the Commercial Code, according to which "the report submits to the decision of the Competition Authority an analysis of the facts and all the notified grievances," that the Authority's college, which is not bound by the rapporteur's assessments, must rule on all notified grievances, including those that the latter may propose to abandon in its report.  </w:t>
        <w:br/>
        <w:t xml:space="preserve">1. ON THE FIRST GRIEVANCE  </w:t>
        <w:br/>
        <w:t xml:space="preserve">a) Arguments of the parties  </w:t>
        <w:br/>
        <w:t xml:space="preserve">141. Infogreffe argues, first of all, that the application by the commercial court registrars and their economic interest grouping of the pricing established by the legislative and regulatory provisions recalled in paragraphs 76 and 77 above falls outside the rules of competition law. It further believes that the Authority would not be competent insofar as this pricing would be implemented in the exercise of a public service mission falling under the exclusive jurisdiction of the administrative court. Finally, it argues that in any case, if the Authority is competent, the practice pursued benefits from the exemption provided for in 1° of Title I of Article L. 420-4 of the Commercial Code since it results from a regulatory text taken for its application.  </w:t>
        <w:br/>
        <w:t xml:space="preserve">142. Coface and Altares, for their part, claim that Infogreffe could not exercise the mission assigned to the registrar and that the legal and regulatory provisions applicable to the latter would not apply to the GIE, which carries out an autonomous economic activity of disseminating legal information. They deduce that such an activity falls under the rules of competition and the competence of the Authority.  </w:t>
        <w:br/>
        <w:t xml:space="preserve">b) Assessment of the Authority  </w:t>
        <w:br/>
        <w:t xml:space="preserve">143. According to I of Article L. 420-4 of the Commercial Code, "the practices that result from the application of a legislative or regulatory text taken for its application (...) are not subject to the provisions of Articles L. 420-1 and L. 420-2 of the Commercial Code."  </w:t>
        <w:br/>
        <w:t xml:space="preserve">144. The implementation of this article requires the meeting of conditions relating, on the one hand, to the text that may be invoked and, on the other hand, to the causal link existing between the behavior in question and the invoked text.  </w:t>
        <w:br/>
        <w:t xml:space="preserve">145. Regarding the texts relating to the tariffs practiced by the registrars, it should be noted that, in its opinion No. 99-A-08 mentioned above, the Competition Council had emphasized that: "the registrars of the commercial courts are the only ones authorized to disseminate to the public on paper or electronically copies of the registrations recorded in the legal publicity registers for which they are responsible. The fees corresponding to this activity, carried out within the framework of a legal monopoly, may be set solely on the basis of Ordinance No. 45-2048 of September 8, 1945" (page 19).  </w:t>
        <w:br/>
        <w:t xml:space="preserve">146. First, it should be recalled that according to Article L. 743-13 of the Commercial Code: "the fees of the registrars of the commercial courts are set by decree in the Council of State." In accordance with this provision, Article R. 743-140 of the Commercial Code, resulting from Article 1 of Decree No. 2007-812 of May 10, 2007, relating to the fees of the registrars of the commercial courts and amending the Commercial Code, determines and sets, by reference to an annex, the fees due to the registrars for the establishment and compliance control of the acts of their ministry. This provision also specifies that the remuneration for each transmission of an act, decision, or document, by hand delivery against receipt or by secure electronic means amounts to a base rate and a half.  </w:t>
        <w:br/>
        <w:t>147. Thus, a regulatory text taken for the application of a legislative text sets the fees due to the registrars as well as the remuneration for each transmission of an act, decision, or document by secure electronic means.</w:t>
      </w:r>
    </w:p>
    <w:p>
      <w:r>
        <w:rPr>
          <w:b/>
        </w:rPr>
        <w:t>[Pages 28–30]</w:t>
      </w:r>
    </w:p>
    <w:p>
      <w:r>
        <w:t>148. Secondly, the provisions of I of Article L. 420-4 of the Commercial Code apply only insofar as the observed practices "result" from the texts in question. According to established practice, only practices that directly and necessarily result from the application of a legislative text or a regulatory text taken for its application can benefit from the exemption provided for in 1° of Title I of Article L. 420-4 of the Commercial Code (see, in particular, decision No. 03-D-03 of January 16, 2003, concerning practices implemented by the Bar Association of Marseille in the field of insurance, paragraph 46).</w:t>
      </w:r>
    </w:p>
    <w:p>
      <w:r>
        <w:t>149. It also follows from established practice that a practice results from a legislative text or a regulatory text taken for its application when these texts impose a specific behavior on operators (decision No. 04-D-49 of October 28, 2004, concerning anti-competitive practices in the field of bovine artificial insemination, paragraphs 191 to 194).</w:t>
      </w:r>
    </w:p>
    <w:p>
      <w:r>
        <w:t>150. In this case, it should be noted that according to the clear terms of Article L. 743-13 of the Commercial Code, the fees owed to the registrars are "set" by decree in the Council of State. Article R. 743-140 of the Commercial Code specifies that the fees owed to the registrars are "determined and fixed" in accordance with the following provisions of said code and with tables appearing in the annex.</w:t>
      </w:r>
    </w:p>
    <w:p>
      <w:r>
        <w:t>151. This uniqueness of the tariff is necessary to ensure that any person, regardless of where they reside, benefits from the same services at the same price, which would not be possible if the registrars had the ability to adjust the applicable tariff within the limits of this ceiling.</w:t>
      </w:r>
    </w:p>
    <w:p>
      <w:r>
        <w:t>152. Furthermore, if the regulatory authority had only set a ceiling, leaving the registrars the possibility of modulation, it would have tainted its decision with negative incompetence, since the legislator assigned it the task of setting the tariff.</w:t>
      </w:r>
    </w:p>
    <w:p>
      <w:r>
        <w:t>153. Thus, the fees owed to the registrars are not free, and these public and ministerial officers must apply the pricing provided for by the aforementioned provisions under penalty of exposing themselves to disciplinary sanctions.</w:t>
      </w:r>
    </w:p>
    <w:p>
      <w:r>
        <w:t>154. It follows from the above that the missions of the registrars are remunerated by tariffs set by a regulatory text taken for the application of a legislative text from which they cannot deviate. The prices charged by the registrars are therefore the direct and necessary consequence of the texts that govern their activities.</w:t>
      </w:r>
    </w:p>
    <w:p>
      <w:r>
        <w:t>155. Thirdly, the fact that the transmission by electronic means is carried out by Infogreffe cannot call such an assessment into question.</w:t>
      </w:r>
    </w:p>
    <w:p>
      <w:r>
        <w:t>156. Indeed, it should be recalled that the registrars (and the INPI), who are, according to Article R. 123-150 of the Commercial Code, "obliged and solely authorized to issue to any person who requests it certificates, copies, or extracts of the registrations recorded in the register and documents filed in annex," have the possibility of being members of an economic interest group (Article L. 743-12 of the Commercial Code), and that, moreover, according to Article R. 741-5, paragraph a, of the same code, the copies issued by the registrars, relating to the registrations recorded in the legal publicity registers for which they are responsible, may be disseminated electronically through a group having either one of the forms authorized by Article L. 743-12 of the Commercial Code or an associative form.</w:t>
      </w:r>
    </w:p>
    <w:p>
      <w:r>
        <w:t>157. In accordance with these provisions, the registrars are members of Infogreffe, whose corporate purpose is to extend their activity by pooling all technical means, notably electronic, computer, telematic, and office, to improve the service provided by the commercial court registries (p. 1 of the internal regulations of the GIE, pages 1302 and following).</w:t>
      </w:r>
    </w:p>
    <w:p>
      <w:r>
        <w:t>158. Therefore, concerning the electronic transmission of information recorded in the legal publicity registers, Infogreffe, which fulfills the legal mission entrusted to the registrars, is required to apply the pricing imposed on its members.</w:t>
      </w:r>
    </w:p>
    <w:p>
      <w:r>
        <w:t>159. Consequently, the tariffs practiced by Infogreffe can only be the tariffs practiced by the registrars themselves in application of a mandatory regulatory provision taken for the application of a legislative text.</w:t>
      </w:r>
    </w:p>
    <w:p>
      <w:r>
        <w:t>160. It follows from the above that the tariffs practiced by Infogreffe, for the electronic transmission of legal and economic information relating to companies listed in the legal registers for which the registrars of the commercial courts are responsible, must be considered as not being subject to the provisions of Article L. 420-2 of the Commercial Code by application of Article L. 420-4-I, 1° of the same code.</w:t>
      </w:r>
    </w:p>
    <w:p>
      <w:r>
        <w:t>2. ON THE SECOND GRIEVANCE</w:t>
      </w:r>
    </w:p>
    <w:p>
      <w:r>
        <w:t>161. As a preliminary point, it should be emphasized that the practices pursued under this grievance are not reproached due to their anti-competitive object, but due to potential restrictive effects on competition arising from two "detachable" aspects of the contract concluded between the INPI and the GIE Infogreffe in 2009, namely the participation of representatives of Infogreffe in the INPI's licensing committee, on the one hand (a), and the consequences related to the substitution of the "WCS" contracts concluded with the GIE Infogreffe for the "PCS" licenses granted by the INPI, on the other hand (b).</w:t>
      </w:r>
    </w:p>
    <w:p>
      <w:r>
        <w:t>a) On the entry of Infogreffe into the INPI Licensing Committee</w:t>
      </w:r>
    </w:p>
    <w:p>
      <w:r>
        <w:t>162. The notified grievance criticizes the presence of representatives of Infogreffe on the INPI licensing committee. Essentially, this would be likely to generate restrictive effects on competition by granting Infogreffe unjustified access to sensitive commercial information about professional intermediaries providing information on the life of companies, who would be competitors.</w:t>
      </w:r>
    </w:p>
    <w:p>
      <w:r>
        <w:t>Arguments of the parties</w:t>
      </w:r>
    </w:p>
    <w:p>
      <w:r>
        <w:t>163. In its observations, Infogreffe argues that the INPI licensing committee is a purely consultative body and that the commercial information to which it has access through its presence on the committee is neither sensitive in its content nor strategic in its context.</w:t>
      </w:r>
    </w:p>
    <w:p>
      <w:r>
        <w:t>164. For its part, the INPI believes that the notification of grievances does not provide any concrete analysis of the information to which Infogreffe would have unjustified access through its presence on the committee, nor of their sensitive or strategic nature in the context of commercial negotiation between a potential private operator and Infogreffe, nor finally of the advantage that the latter could derive from it given the absence of a competitive situation between Infogreffe and private operators in any upstream or downstream market.</w:t>
      </w:r>
    </w:p>
    <w:p>
      <w:r>
        <w:t>165. Finally, Coface and Altares, in their note in deliberation, which the Authority deemed admissible, argue that the economic activity carried out within the framework of the public service of disseminating the information contained in the RNCS falls within the competence of the Authority and, consequently, that the agreement made in 2009 between the INPI and Infogreffe must be analyzed in light of competition rules.</w:t>
      </w:r>
    </w:p>
    <w:p>
      <w:r>
        <w:t>Assessment of the Authority</w:t>
      </w:r>
    </w:p>
    <w:p>
      <w:r>
        <w:t>166. First, the elements brought to the attention of the Authority regarding the functioning of the licensing committee tasked with evaluating the commercial projects of private operators wishing to obtain a license from the INPI confirm that the information in question is solely intended to determine whether the future licensee wishes to acquire a license for "internal" use or for "distribution."</w:t>
      </w:r>
    </w:p>
    <w:p>
      <w:r>
        <w:t>167. Indeed, none of the elements of the investigation file contradict the explanations provided by the INPI, which highlight that, in the licensing committee meeting, only a brief and general presentation of the candidate's activity is made, which does not aim to examine in detail their commercial projects, but only to verify whether the information is acquired for processing for redistribution or for "internal consumption."</w:t>
      </w:r>
    </w:p>
    <w:p>
      <w:r>
        <w:t>168. Secondly, it should be noted that Infogreffe has, hypothetically, access to the allegedly strategic information about private intermediary operators providing information on the life of companies to the extent that it ensures its dissemination to the public, as this information is included in the legal publicity registers for which the registrars of the commercial courts are responsible, particularly those relating to registrations of privileges or collective proceedings.</w:t>
      </w:r>
    </w:p>
    <w:p>
      <w:r>
        <w:t>169. Therefore, the assertion that future licensees of the INPI would be led to disclose sensitive commercial information before the licensing committee, such as the details of their commercial project and their solvency ratios, granting Infogreffe an unjustified competitive advantage, is not demonstrated in this case.</w:t>
      </w:r>
    </w:p>
    <w:p>
      <w:r>
        <w:t>170. Moreover, the existence of real or potential restrictive effects on competition is not supported by the analysis of the relevant sector.</w:t>
      </w:r>
    </w:p>
    <w:p>
      <w:r>
        <w:t>171. On the one hand, only the registrars and Infogreffe, as well as the INPI, are authorized to disseminate to the public the raw data from the legal publicity registers; on the other hand, the INPI and Infogreffe do not market any enriched information, that is to say, supplemented with third-party data or analyzed, so that there is no real direct competitive relationship between them and their professional buyers for this type of data.</w:t>
      </w:r>
    </w:p>
    <w:p>
      <w:r>
        <w:t>172. Finally, it is undisputed that during the only two meetings held since 2009, none of the six license allocation requests examined were rejected. No element relating to these meetings corroborates the revelation, during their holding, of sensitive commercial information from which Infogreffe could have derived any advantage.</w:t>
      </w:r>
    </w:p>
    <w:p>
      <w:r>
        <w:t>173. It follows from the above that, in the circumstances of this case, the presence of representatives of the GIE Infogreffe on the INPI licensing committee has, in itself, neither object nor anti-competitive effects contrary to Article L. 420-1 of the Commercial Code. Therefore, it is necessary to apply the provisions of Article L. 464-6 of the Commercial Code.</w:t>
      </w:r>
    </w:p>
    <w:p>
      <w:r>
        <w:t>b) On the consequences of the substitution of the "WCS" contracts for the "PCS" licenses</w:t>
      </w:r>
    </w:p>
    <w:p>
      <w:r>
        <w:t>174. Essentially, the notified grievance criticizes the choice to substitute the "WCS" contracts concluded with Infogreffe for the "PCS" licenses previously granted by the INPI, which choice would entail potential anti-competitive effects in the form of increased costs for acquiring the information transferred in bulk. This increase would result, in particular, from the disappearance of the "internal use" tariffs and the elimination of certain products accessible at a wholesale price, on the one hand, and from the locking of access to the "WCS" contracts for potential new entrants, as would be evident from the content of the "WCS" contracts already concluded between Infogreffe and the companies Coface and Altares, on the other hand.</w:t>
      </w:r>
    </w:p>
    <w:p>
      <w:r>
        <w:rPr>
          <w:b/>
        </w:rPr>
        <w:t>[Pages 31–33]</w:t>
      </w:r>
    </w:p>
    <w:p>
      <w:r>
        <w:t xml:space="preserve">Arguments of the parties  </w:t>
        <w:br/>
        <w:t xml:space="preserve">175. Infogreffe refutes the potential locking effect that would result from the terms of the standard "WCS" contract, emphasizing that such a claim is contradicted by the facts. To this end, it recalls having concluded since October 1, 2009, "WCS" contracts with companies that were not previously licensees of "PCS" from the INPI.  </w:t>
        <w:br/>
        <w:t xml:space="preserve">176. As for the potential increase in the cost of access to certain information in light of the content of the standard "WCS" contract, Infogreffe does not contest the removal of the "company identity certificate" product and the "internal use" pricing but indicates that this results from a lack of demand for this product and pricing under the "PCS" license regime justifying their removal.  </w:t>
        <w:br/>
        <w:t xml:space="preserve">177. For its part, the INPI believes that the alleged anticompetitive effects are, in reality, purely hypothetical and that, assuming they were proven, they are unrelated to the 2009 agreement under which the liability of the INPI could be engaged. Indeed, the alleged restrictive effects would exclusively concern the consequences of the contracts concluded between the GIE Infogreffe and its clients, or more precisely on the risks of unilateral behaviors of the GIE in connection with these contracts.  </w:t>
        <w:br/>
        <w:t xml:space="preserve">178. Coface and Altares, in their post-hearing note, argue that the 2009 agreement modified the terms of the sale of legal information relating to companies.  </w:t>
        <w:br/>
        <w:t xml:space="preserve">Assessment of the Authority  </w:t>
        <w:br/>
        <w:t xml:space="preserve">179. As a preliminary matter, it should be recalled that, in competition law, the Authority assesses the contractual relationships of companies in light of their economic purpose and the potential disruption they may cause to competition in a given sector or market, and not solely on their legal typology.  </w:t>
        <w:br/>
        <w:t xml:space="preserve">180. Therefore, in principle, the modification of the contractual regime for the à la carte use of "Web service" information, the subject of the "PCS" licenses and now the "WCS" contracts, cannot, in itself, constitute a restriction of competition by object or by effect contrary to Article L. 420-1 of the Commercial Code.  </w:t>
        <w:br/>
        <w:t xml:space="preserve">181. In any case, the qualification of an agreement within the meaning of Article L. 420-1 of the Commercial Code is subject to the demonstration of the existence of a concurrence of wills, as recalled by the Paris Court of Appeal in its judgment of July 2, 2003, SA GAN Eurocourtage, which states that: "the unilateral behavior of an economic operator does not fall within the provisions of the aforementioned text [Article L. 420-1 of the Commercial Code], which implies that the expression of the common will of the companies involved to behave in a determined manner in the market concerned must be established" (BOCCRF No. 10 of September 29, 2003).  </w:t>
        <w:br/>
        <w:t xml:space="preserve">182. In this case, the various alleged restrictions in the notification of grievances exclusively concern the contracts offered by Infogreffe alone to its current or potential clients.  </w:t>
        <w:br/>
        <w:t xml:space="preserve">183. However, it appears from the terms of the agreement signed on April 3, 2009, that it does not provide for any provisions regarding the pricing and non-pricing conditions of the contracts that will be offered by Infogreffe to third parties, and the investigation services did not refer to any factual element capable of establishing that the INPI was able to exert, in law as in fact, an influence on the content of the "WCS" contracts offered to interested companies.  </w:t>
        <w:br/>
        <w:t xml:space="preserve">184. Furthermore, the potential locking effect that would result from the terms of the standard "WCS" contract is contradicted by the facts, as Infogreffe provided the investigation services, in response to the notification of grievances, with copies of four contracts concluded with new entrants, so that the risk of refusal to conclude such a contract, on the grounds that it would be reserved exclusively for former clients of the INPI, appears purely hypothetical.  </w:t>
        <w:br/>
        <w:t xml:space="preserve">185. Regarding the potential increase in the cost of access to certain information for the former professional licensees of the INPI, Infogreffe acknowledged that the "WCS" contracts had removed one product (the company identity certificate) and one pricing (for internal use) compared to the offer of the former "PCS" licenses from the INPI.  </w:t>
        <w:br/>
        <w:t xml:space="preserve">186. However, Infogreffe explained this removal by the fact that holders of the former licenses never purchased the company identity certificate and never used the internal use pricing, as they are professional intermediaries who reuse the data, which was confirmed during the investigation by all the operators interviewed (pages 3497, 3428, and 3533).  </w:t>
        <w:br/>
        <w:t xml:space="preserve">187. Thus, once again, the potential restrictive effect on competition of the criticized practice is not demonstrated.  </w:t>
        <w:br/>
        <w:t xml:space="preserve">188. It follows from the above that no grievance of collusion contrary to Article L. 420-1 of the Commercial Code can be retained against the GIE Infogreffe and the INPI. Therefore, it is necessary to apply the provisions of Article L. 464-6 of the Commercial Code.  </w:t>
        <w:br/>
        <w:t xml:space="preserve">B. ON THE OTHER PRACTICES DENOUNCED  </w:t>
        <w:br/>
        <w:t xml:space="preserve">1. ON THE ACCESS DIFFICULTIES OF MERCURE TO THE INFOGREFFE SERVER FOR ONLINE REGISTRATIONS  </w:t>
        <w:br/>
        <w:t xml:space="preserve">189. Mercure denounces the refusal that Infogreffe allegedly opposed, in October 2007, to its request for access to the Infogreffe server for the online registration of its client companies from its "StatutsOnline" server. This rejection would have occurred shortly before the commercial launch by Infogreffe of its online registration tool on the website greffe.formalités.fr.  </w:t>
        <w:br/>
        <w:t xml:space="preserve">190. During his hearing by the investigation services on September 25, 2008, the head of Mercure indeed explained that his request for access to the format of Infogreffe's database, as well as the access door to this database, aimed to directly transmit electronically the necessary elements for the creation and registration of companies that his company proposes to carry out on behalf of clients (page 471).  </w:t>
        <w:br/>
        <w:t xml:space="preserve">191. When questioned in this regard by the investigation services on November 16, 2009, the president of Infogreffe explained that: "the company Mercure can access the Infogreffe server, the connections having been established to allow it to carry out these formalities. This issue has been resolved for a few weeks. Under no circumstances has Infogreffe obstructed this company from establishing connections with Infogreffe" (page 1183).  </w:t>
        <w:br/>
        <w:t xml:space="preserve">192. The head of Mercure confirmed by email, dated January 26, 2012, that: "following our complaint and your intervention with the GIE, the technical data was transmitted to us as well as access to the platform. It took us only a few months to set up the connection, which has been functioning very well and in good collaboration since July 1 of the year following our complaint" (page 3992). However, Mercure maintained that the dispute did not result from a technical problem but from a deliberate intention on the part of the GIE.  </w:t>
        <w:br/>
        <w:t xml:space="preserve">193. In this case, it should be noted that the occurrence of this technical problem cannot constitute anticompetitive behavior implemented by Infogreffe insofar as the facts denounced in the referral are not supported by any probative element capable of characterizing an abuse of a dominant position or economic dependence.  </w:t>
        <w:br/>
        <w:t xml:space="preserve">194. Consequently, there is also no need to continue the procedure regarding these practices.  </w:t>
        <w:br/>
        <w:t xml:space="preserve">2. ON THE PRACTICES ALLEGED BY COFACE AND ALTARES  </w:t>
        <w:br/>
        <w:t xml:space="preserve">195. The complainants denounced the existence of an agreement among the registrars of the commercial courts in the form of the GIE Infogreffe "for which the founding members transferred their decision-making powers, so that this grouping constitutes a single enterprise under Article L. 420-2 of the Commercial Code" (page 40).  </w:t>
        <w:br/>
        <w:t xml:space="preserve">196. They also reported delays in the transmission of information from the RCS held by the registrars to the INPI, which would have penalized the INPI's website by favoring the Infogreffe database.  </w:t>
        <w:br/>
        <w:t xml:space="preserve">197. First of all, it should be emphasized that the establishment of the GIE Infogreffe cannot, in itself, be qualified as an agreement within the meaning of Article L. 420-1 of the Commercial Code, as the possibility for the registrars of the commercial courts to group together within an economic interest grouping to carry out their missions is expressly provided for by law, in accordance with Article L. 743-12 of the Commercial Code (see paragraph 28 above).  </w:t>
        <w:br/>
        <w:t xml:space="preserve">198. Secondly, the transmission delays observed may result from simple organizational negligence of certain registries, and no element in the file allows for the characterization of an anticompetitive practice by Infogreffe in this regard.  </w:t>
        <w:br/>
        <w:t xml:space="preserve">199. Furthermore, it should be noted that a maximum transmission period of 15 days was provided for by law, which mechanically rendered the information provided to the INPI less efficient than that held by the registrars or Infogreffe.  </w:t>
        <w:br/>
        <w:t xml:space="preserve">200. Finally, no specific effect, even potential, on the market has been identified.  </w:t>
        <w:br/>
        <w:t>201. Consequently, the practices mentioned above do not justify the continuation of the procedure.</w:t>
      </w:r>
    </w:p>
    <w:p>
      <w:r>
        <w:rPr>
          <w:b/>
        </w:rPr>
        <w:t>[Pages 34–34]</w:t>
      </w:r>
    </w:p>
    <w:p>
      <w:r>
        <w:t xml:space="preserve">DECISION  </w:t>
        <w:br/>
        <w:t xml:space="preserve">Article 1: In application of 1° of Title I of Article L. 420-4 of the Commercial Code, the pricing practices of the GIE Infogreffe referred to in this matter are not subject to the provisions of Article L. 420-2 of the Commercial Code.  </w:t>
        <w:br/>
        <w:t xml:space="preserve">Article 2: It is not established that the GIE Infogreffe and the INPI have violated the provisions of Articles L. 420-1 and L. 420-2 of the Commercial Code regarding the other practices denounced by the referrals.  </w:t>
        <w:br/>
        <w:t xml:space="preserve">Deliberated on the oral report of Ms. Monique Rouzaud, rapporteur, and the intervention of Ms. Virginie Beaumeunier, general rapporteur, by Ms. Claire Favre, vice-president, chairing the session, Ms. Reine-Claude Mader-Saussaye, and Mr. Noël Diricq, members.  </w:t>
        <w:br/>
        <w:t xml:space="preserve">The session secretary, The vice-president,  </w:t>
        <w:br/>
        <w:t xml:space="preserve">Béatrice Déry-Rosot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